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40B3" w14:textId="267BC8F4" w:rsidR="003E52BB" w:rsidRPr="003E52BB" w:rsidRDefault="003E52BB" w:rsidP="003E52BB">
      <w:r w:rsidRPr="003E52BB">
        <w:rPr>
          <w:b/>
          <w:bCs/>
        </w:rPr>
        <w:t>NEWBERRY COMMUNITY SERVICES DISTRICT</w:t>
      </w:r>
      <w:r w:rsidRPr="003E52BB">
        <w:br/>
      </w:r>
      <w:r w:rsidRPr="003E52BB">
        <w:rPr>
          <w:b/>
          <w:bCs/>
        </w:rPr>
        <w:t>Cadiz Water Committee Meeting Minutes</w:t>
      </w:r>
      <w:r w:rsidRPr="003E52BB">
        <w:br/>
        <w:t>April 21, 2026 – 6:00 p.m.</w:t>
      </w:r>
      <w:r w:rsidRPr="003E52BB">
        <w:br/>
        <w:t>Newberry Community Center, 30884 Newberry Road, Newberry Springs, CA</w:t>
      </w:r>
      <w:r w:rsidRPr="003E52BB">
        <w:pict w14:anchorId="11674CFC">
          <v:rect id="_x0000_i1025" style="width:0;height:1.5pt" o:hralign="center" o:hrstd="t" o:hr="t" fillcolor="#a0a0a0" stroked="f"/>
        </w:pict>
      </w:r>
    </w:p>
    <w:p w14:paraId="2C2BE3F4" w14:textId="77777777" w:rsidR="003E52BB" w:rsidRPr="003E52BB" w:rsidRDefault="003E52BB" w:rsidP="003E52BB">
      <w:pPr>
        <w:rPr>
          <w:b/>
          <w:bCs/>
        </w:rPr>
      </w:pPr>
      <w:r w:rsidRPr="003E52BB">
        <w:rPr>
          <w:b/>
          <w:bCs/>
        </w:rPr>
        <w:t>1. Call to Order</w:t>
      </w:r>
    </w:p>
    <w:p w14:paraId="2AD4C1B6" w14:textId="77777777" w:rsidR="003E52BB" w:rsidRPr="003E52BB" w:rsidRDefault="003E52BB" w:rsidP="003E52BB">
      <w:r w:rsidRPr="003E52BB">
        <w:t xml:space="preserve">The meeting was called to order at </w:t>
      </w:r>
      <w:r w:rsidRPr="003E52BB">
        <w:rPr>
          <w:b/>
          <w:bCs/>
        </w:rPr>
        <w:t>6:04 p.m.</w:t>
      </w:r>
    </w:p>
    <w:p w14:paraId="3F183431" w14:textId="77777777" w:rsidR="003E52BB" w:rsidRPr="003E52BB" w:rsidRDefault="003E52BB" w:rsidP="003E52BB">
      <w:pPr>
        <w:rPr>
          <w:b/>
          <w:bCs/>
        </w:rPr>
      </w:pPr>
      <w:r w:rsidRPr="003E52BB">
        <w:rPr>
          <w:b/>
          <w:bCs/>
        </w:rPr>
        <w:t>2. Pledge of Allegiance</w:t>
      </w:r>
    </w:p>
    <w:p w14:paraId="2279E508" w14:textId="75D90B95" w:rsidR="003E52BB" w:rsidRPr="003E52BB" w:rsidRDefault="003E52BB" w:rsidP="003E52BB">
      <w:r w:rsidRPr="003E52BB">
        <w:t>Led by Director Robert Springer</w:t>
      </w:r>
      <w:r w:rsidRPr="003E52BB">
        <w:pict w14:anchorId="43012442">
          <v:rect id="_x0000_i1026" style="width:0;height:1.5pt" o:hralign="center" o:hrstd="t" o:hr="t" fillcolor="#a0a0a0" stroked="f"/>
        </w:pict>
      </w:r>
    </w:p>
    <w:p w14:paraId="39542CAA" w14:textId="77777777" w:rsidR="003E52BB" w:rsidRPr="003E52BB" w:rsidRDefault="003E52BB" w:rsidP="003E52BB">
      <w:pPr>
        <w:rPr>
          <w:b/>
          <w:bCs/>
        </w:rPr>
      </w:pPr>
      <w:r w:rsidRPr="003E52BB">
        <w:rPr>
          <w:b/>
          <w:bCs/>
        </w:rPr>
        <w:t>3. Roll Call</w:t>
      </w:r>
    </w:p>
    <w:p w14:paraId="6D42378B" w14:textId="77777777" w:rsidR="003E52BB" w:rsidRPr="003E52BB" w:rsidRDefault="003E52BB" w:rsidP="003E52BB">
      <w:pPr>
        <w:numPr>
          <w:ilvl w:val="0"/>
          <w:numId w:val="1"/>
        </w:numPr>
      </w:pPr>
      <w:r w:rsidRPr="003E52BB">
        <w:t xml:space="preserve">Robert Springer – Present </w:t>
      </w:r>
    </w:p>
    <w:p w14:paraId="2059BBC5" w14:textId="77777777" w:rsidR="003E52BB" w:rsidRPr="003E52BB" w:rsidRDefault="003E52BB" w:rsidP="003E52BB">
      <w:pPr>
        <w:numPr>
          <w:ilvl w:val="0"/>
          <w:numId w:val="1"/>
        </w:numPr>
      </w:pPr>
      <w:r w:rsidRPr="003E52BB">
        <w:t xml:space="preserve">Mike Matson – Absent (resigned) </w:t>
      </w:r>
    </w:p>
    <w:p w14:paraId="2D853A2D" w14:textId="77777777" w:rsidR="003E52BB" w:rsidRPr="003E52BB" w:rsidRDefault="003E52BB" w:rsidP="003E52BB">
      <w:pPr>
        <w:numPr>
          <w:ilvl w:val="0"/>
          <w:numId w:val="1"/>
        </w:numPr>
      </w:pPr>
      <w:r w:rsidRPr="003E52BB">
        <w:t xml:space="preserve">Paul Deel – Present </w:t>
      </w:r>
    </w:p>
    <w:p w14:paraId="6B15A05E" w14:textId="77777777" w:rsidR="003E52BB" w:rsidRPr="003E52BB" w:rsidRDefault="003E52BB" w:rsidP="003E52BB">
      <w:pPr>
        <w:numPr>
          <w:ilvl w:val="0"/>
          <w:numId w:val="1"/>
        </w:numPr>
      </w:pPr>
      <w:r w:rsidRPr="003E52BB">
        <w:t xml:space="preserve">Karen Grey – Present </w:t>
      </w:r>
    </w:p>
    <w:p w14:paraId="37B6360D" w14:textId="77777777" w:rsidR="003E52BB" w:rsidRPr="003E52BB" w:rsidRDefault="003E52BB" w:rsidP="003E52BB">
      <w:pPr>
        <w:numPr>
          <w:ilvl w:val="0"/>
          <w:numId w:val="1"/>
        </w:numPr>
      </w:pPr>
      <w:r w:rsidRPr="003E52BB">
        <w:t xml:space="preserve">Ted Stimpfel – Present </w:t>
      </w:r>
    </w:p>
    <w:p w14:paraId="64446CF5" w14:textId="77777777" w:rsidR="003E52BB" w:rsidRPr="003E52BB" w:rsidRDefault="003E52BB" w:rsidP="003E52BB">
      <w:pPr>
        <w:numPr>
          <w:ilvl w:val="0"/>
          <w:numId w:val="1"/>
        </w:numPr>
      </w:pPr>
      <w:r w:rsidRPr="003E52BB">
        <w:t xml:space="preserve">Rose Beardshear – Present </w:t>
      </w:r>
    </w:p>
    <w:p w14:paraId="3014E3D9" w14:textId="77777777" w:rsidR="003E52BB" w:rsidRPr="003E52BB" w:rsidRDefault="003E52BB" w:rsidP="003E52BB">
      <w:pPr>
        <w:numPr>
          <w:ilvl w:val="0"/>
          <w:numId w:val="1"/>
        </w:numPr>
      </w:pPr>
      <w:r w:rsidRPr="003E52BB">
        <w:t xml:space="preserve">Brad Forshner – Present </w:t>
      </w:r>
    </w:p>
    <w:p w14:paraId="2C75C470" w14:textId="77777777" w:rsidR="003E52BB" w:rsidRPr="003E52BB" w:rsidRDefault="003E52BB" w:rsidP="003E52BB">
      <w:pPr>
        <w:numPr>
          <w:ilvl w:val="0"/>
          <w:numId w:val="1"/>
        </w:numPr>
      </w:pPr>
      <w:r w:rsidRPr="003E52BB">
        <w:t xml:space="preserve">Matt Adams – Present </w:t>
      </w:r>
    </w:p>
    <w:p w14:paraId="712A2A11" w14:textId="6E3B5749" w:rsidR="003E52BB" w:rsidRPr="003E52BB" w:rsidRDefault="003E52BB" w:rsidP="003E52BB">
      <w:pPr>
        <w:numPr>
          <w:ilvl w:val="0"/>
          <w:numId w:val="1"/>
        </w:numPr>
      </w:pPr>
      <w:r w:rsidRPr="003E52BB">
        <w:t xml:space="preserve">Robert Shaw – Present </w:t>
      </w:r>
      <w:r w:rsidRPr="003E52BB">
        <w:pict w14:anchorId="1DD8C11C">
          <v:rect id="_x0000_i1027" style="width:0;height:1.5pt" o:hralign="center" o:hrstd="t" o:hr="t" fillcolor="#a0a0a0" stroked="f"/>
        </w:pict>
      </w:r>
    </w:p>
    <w:p w14:paraId="799CB952" w14:textId="77777777" w:rsidR="003E52BB" w:rsidRPr="003E52BB" w:rsidRDefault="003E52BB" w:rsidP="003E52BB">
      <w:pPr>
        <w:rPr>
          <w:b/>
          <w:bCs/>
        </w:rPr>
      </w:pPr>
      <w:r w:rsidRPr="003E52BB">
        <w:rPr>
          <w:b/>
          <w:bCs/>
        </w:rPr>
        <w:t>4. Approval of Minutes</w:t>
      </w:r>
    </w:p>
    <w:p w14:paraId="0C7E7567" w14:textId="77777777" w:rsidR="003E52BB" w:rsidRPr="003E52BB" w:rsidRDefault="003E52BB" w:rsidP="003E52BB">
      <w:r w:rsidRPr="003E52BB">
        <w:rPr>
          <w:b/>
          <w:bCs/>
        </w:rPr>
        <w:t>March 17, 2026 – Cadiz Water Committee Meeting Minutes</w:t>
      </w:r>
    </w:p>
    <w:p w14:paraId="6A6AB892" w14:textId="77777777" w:rsidR="003E52BB" w:rsidRPr="003E52BB" w:rsidRDefault="003E52BB" w:rsidP="003E52BB">
      <w:r w:rsidRPr="003E52BB">
        <w:t>Motion to approve with amendments made by Brad Forshner, seconded by Robert Springer.</w:t>
      </w:r>
    </w:p>
    <w:p w14:paraId="1B37B62C" w14:textId="77777777" w:rsidR="003E52BB" w:rsidRPr="003E52BB" w:rsidRDefault="003E52BB" w:rsidP="003E52BB">
      <w:r w:rsidRPr="003E52BB">
        <w:t>Amendments included:</w:t>
      </w:r>
    </w:p>
    <w:p w14:paraId="4354767F" w14:textId="77777777" w:rsidR="003E52BB" w:rsidRPr="003E52BB" w:rsidRDefault="003E52BB" w:rsidP="003E52BB">
      <w:pPr>
        <w:numPr>
          <w:ilvl w:val="0"/>
          <w:numId w:val="2"/>
        </w:numPr>
      </w:pPr>
      <w:r w:rsidRPr="003E52BB">
        <w:t xml:space="preserve">Correction to Item #5 to reflect second by Paul Deel </w:t>
      </w:r>
    </w:p>
    <w:p w14:paraId="1A52CF0A" w14:textId="77777777" w:rsidR="003E52BB" w:rsidRPr="003E52BB" w:rsidRDefault="003E52BB" w:rsidP="003E52BB">
      <w:pPr>
        <w:numPr>
          <w:ilvl w:val="0"/>
          <w:numId w:val="2"/>
        </w:numPr>
      </w:pPr>
      <w:r w:rsidRPr="003E52BB">
        <w:t xml:space="preserve">Vote recorded as 5-1 (Ted Stimpfel opposed) </w:t>
      </w:r>
    </w:p>
    <w:p w14:paraId="75DD717F" w14:textId="77777777" w:rsidR="003E52BB" w:rsidRPr="003E52BB" w:rsidRDefault="003E52BB" w:rsidP="003E52BB">
      <w:r w:rsidRPr="003E52BB">
        <w:rPr>
          <w:b/>
          <w:bCs/>
        </w:rPr>
        <w:t>Motion carried to approve minutes as amended.</w:t>
      </w:r>
    </w:p>
    <w:p w14:paraId="4B57FE30" w14:textId="77777777" w:rsidR="003E52BB" w:rsidRPr="003E52BB" w:rsidRDefault="003E52BB" w:rsidP="003E52BB">
      <w:r w:rsidRPr="003E52BB">
        <w:lastRenderedPageBreak/>
        <w:pict w14:anchorId="1F750D71">
          <v:rect id="_x0000_i1028" style="width:0;height:1.5pt" o:hralign="center" o:hrstd="t" o:hr="t" fillcolor="#a0a0a0" stroked="f"/>
        </w:pict>
      </w:r>
    </w:p>
    <w:p w14:paraId="09BF4464" w14:textId="77777777" w:rsidR="003E52BB" w:rsidRPr="003E52BB" w:rsidRDefault="003E52BB" w:rsidP="003E52BB">
      <w:pPr>
        <w:rPr>
          <w:b/>
          <w:bCs/>
        </w:rPr>
      </w:pPr>
      <w:r w:rsidRPr="003E52BB">
        <w:rPr>
          <w:b/>
          <w:bCs/>
        </w:rPr>
        <w:t>5. Public Comments</w:t>
      </w:r>
    </w:p>
    <w:p w14:paraId="09AF78B6" w14:textId="0FBA3199" w:rsidR="003E52BB" w:rsidRPr="003E52BB" w:rsidRDefault="003E52BB" w:rsidP="003E52BB">
      <w:pPr>
        <w:numPr>
          <w:ilvl w:val="0"/>
          <w:numId w:val="3"/>
        </w:numPr>
      </w:pPr>
      <w:r w:rsidRPr="003E52BB">
        <w:t>Mitch Hammock reported that he attended the San Bernardino County Board of Supervisors meeting earlier in the day. He stated that a partnership</w:t>
      </w:r>
      <w:r>
        <w:t xml:space="preserve"> with San Bernardino County</w:t>
      </w:r>
      <w:r w:rsidRPr="003E52BB">
        <w:t xml:space="preserve"> involving Cadiz and Fenner Gap Mutual Water Company was approved unanimously</w:t>
      </w:r>
      <w:r>
        <w:t xml:space="preserve"> by the Board of Supervisors</w:t>
      </w:r>
      <w:r w:rsidRPr="003E52BB">
        <w:t xml:space="preserve">. </w:t>
      </w:r>
      <w:r>
        <w:t>H</w:t>
      </w:r>
      <w:r w:rsidRPr="003E52BB">
        <w:t xml:space="preserve">e did not have full details of the partnership. </w:t>
      </w:r>
      <w:r w:rsidR="00A80CF1">
        <w:t xml:space="preserve">He also reported that the MWA Watermaster has recommended </w:t>
      </w:r>
      <w:proofErr w:type="gramStart"/>
      <w:r w:rsidR="00A80CF1">
        <w:t xml:space="preserve">the </w:t>
      </w:r>
      <w:proofErr w:type="spellStart"/>
      <w:r w:rsidR="00A80CF1">
        <w:t>the</w:t>
      </w:r>
      <w:proofErr w:type="spellEnd"/>
      <w:proofErr w:type="gramEnd"/>
      <w:r w:rsidR="00A80CF1">
        <w:t xml:space="preserve"> </w:t>
      </w:r>
      <w:r w:rsidR="00A80CF1" w:rsidRPr="00A80CF1">
        <w:t>Baja Subarea be maintained at 19.5% of the Base Annual Production (BAP</w:t>
      </w:r>
      <w:r w:rsidR="00A80CF1">
        <w:t>.</w:t>
      </w:r>
    </w:p>
    <w:p w14:paraId="2BB6A36D" w14:textId="55628AA0" w:rsidR="003E52BB" w:rsidRPr="003E52BB" w:rsidRDefault="003E52BB" w:rsidP="003E52BB">
      <w:pPr>
        <w:numPr>
          <w:ilvl w:val="0"/>
          <w:numId w:val="3"/>
        </w:numPr>
      </w:pPr>
      <w:r w:rsidRPr="003E52BB">
        <w:t xml:space="preserve">Ted Stimpfel commented that discussions regarding a partnership </w:t>
      </w:r>
      <w:r w:rsidR="00A80CF1">
        <w:t xml:space="preserve">between SB County and Cadiz </w:t>
      </w:r>
      <w:r w:rsidRPr="003E52BB">
        <w:t>have been ongoing for some time</w:t>
      </w:r>
      <w:r w:rsidR="00A80CF1">
        <w:t xml:space="preserve"> and that some of the supervisors serve on the board for Fenner Gap.</w:t>
      </w:r>
    </w:p>
    <w:p w14:paraId="18A8671D" w14:textId="77777777" w:rsidR="003E52BB" w:rsidRPr="003E52BB" w:rsidRDefault="003E52BB" w:rsidP="003E52BB">
      <w:r w:rsidRPr="003E52BB">
        <w:pict w14:anchorId="6891595A">
          <v:rect id="_x0000_i1029" style="width:0;height:1.5pt" o:hralign="center" o:hrstd="t" o:hr="t" fillcolor="#a0a0a0" stroked="f"/>
        </w:pict>
      </w:r>
    </w:p>
    <w:p w14:paraId="65F0CCD8" w14:textId="77777777" w:rsidR="003E52BB" w:rsidRPr="003E52BB" w:rsidRDefault="003E52BB" w:rsidP="003E52BB">
      <w:pPr>
        <w:rPr>
          <w:b/>
          <w:bCs/>
        </w:rPr>
      </w:pPr>
      <w:r w:rsidRPr="003E52BB">
        <w:rPr>
          <w:b/>
          <w:bCs/>
        </w:rPr>
        <w:t>6. Agenda Item</w:t>
      </w:r>
    </w:p>
    <w:p w14:paraId="61EF7A38" w14:textId="77777777" w:rsidR="003E52BB" w:rsidRPr="003E52BB" w:rsidRDefault="003E52BB" w:rsidP="003E52BB">
      <w:pPr>
        <w:rPr>
          <w:b/>
          <w:bCs/>
        </w:rPr>
      </w:pPr>
      <w:r w:rsidRPr="003E52BB">
        <w:rPr>
          <w:b/>
          <w:bCs/>
        </w:rPr>
        <w:t>Response from Attorney Regarding Cadiz Water Committee Draft MOU</w:t>
      </w:r>
      <w:r w:rsidRPr="003E52BB">
        <w:rPr>
          <w:b/>
          <w:bCs/>
        </w:rPr>
        <w:br/>
      </w:r>
      <w:r w:rsidRPr="003E52BB">
        <w:rPr>
          <w:i/>
          <w:iCs/>
        </w:rPr>
        <w:t>Submitted by Director Springer – Discussion/Possible Action</w:t>
      </w:r>
      <w:r w:rsidRPr="003E52BB">
        <w:rPr>
          <w:b/>
          <w:bCs/>
        </w:rPr>
        <w:t xml:space="preserve"> </w:t>
      </w:r>
    </w:p>
    <w:p w14:paraId="3B30AAEF" w14:textId="77777777" w:rsidR="003E52BB" w:rsidRPr="003E52BB" w:rsidRDefault="003E52BB" w:rsidP="003E52BB">
      <w:pPr>
        <w:rPr>
          <w:b/>
          <w:bCs/>
        </w:rPr>
      </w:pPr>
      <w:r w:rsidRPr="003E52BB">
        <w:rPr>
          <w:b/>
          <w:bCs/>
        </w:rPr>
        <w:t>The Committee reviewed the attorney’s response to the Draft MOU.</w:t>
      </w:r>
    </w:p>
    <w:p w14:paraId="551A5E93" w14:textId="72427B06" w:rsidR="003E52BB" w:rsidRPr="003E52BB" w:rsidRDefault="003E52BB" w:rsidP="003E52BB">
      <w:r w:rsidRPr="003E52BB">
        <w:t xml:space="preserve">Chair Robert Springer noted for the record that written correspondence related to this agenda item was received from Committee Member Ted Stimpfel and Committee Member Rose Beardshear prior to the meeting. These documents were distributed </w:t>
      </w:r>
      <w:r>
        <w:t xml:space="preserve">electronically </w:t>
      </w:r>
      <w:r w:rsidRPr="003E52BB">
        <w:t xml:space="preserve">to the Board and are included as part of the official record (Attachments A and B). </w:t>
      </w:r>
    </w:p>
    <w:p w14:paraId="6FAB1FBE" w14:textId="77777777" w:rsidR="003E52BB" w:rsidRPr="003E52BB" w:rsidRDefault="003E52BB" w:rsidP="003E52BB">
      <w:pPr>
        <w:numPr>
          <w:ilvl w:val="0"/>
          <w:numId w:val="7"/>
        </w:numPr>
      </w:pPr>
      <w:r w:rsidRPr="003E52BB">
        <w:t xml:space="preserve">Ted Stimpfel expressed concern that the agenda item may not comply with Brown Act requirements and raised procedural and legal issues outlined in his written memorandum. </w:t>
      </w:r>
    </w:p>
    <w:p w14:paraId="12ED9CE9" w14:textId="77777777" w:rsidR="003E52BB" w:rsidRPr="003E52BB" w:rsidRDefault="003E52BB" w:rsidP="003E52BB">
      <w:pPr>
        <w:numPr>
          <w:ilvl w:val="0"/>
          <w:numId w:val="7"/>
        </w:numPr>
      </w:pPr>
      <w:r w:rsidRPr="003E52BB">
        <w:t xml:space="preserve">Robert Springer clarified that the Committee’s role is to review materials and provide recommendations to the Board of Directors. </w:t>
      </w:r>
    </w:p>
    <w:p w14:paraId="40A944E0" w14:textId="77777777" w:rsidR="003E52BB" w:rsidRPr="003E52BB" w:rsidRDefault="003E52BB" w:rsidP="003E52BB">
      <w:pPr>
        <w:rPr>
          <w:b/>
          <w:bCs/>
        </w:rPr>
      </w:pPr>
      <w:r w:rsidRPr="003E52BB">
        <w:rPr>
          <w:b/>
          <w:bCs/>
        </w:rPr>
        <w:t>Discussion included the following:</w:t>
      </w:r>
    </w:p>
    <w:p w14:paraId="38C421FD" w14:textId="77777777" w:rsidR="003E52BB" w:rsidRPr="003E52BB" w:rsidRDefault="003E52BB" w:rsidP="003E52BB">
      <w:pPr>
        <w:numPr>
          <w:ilvl w:val="0"/>
          <w:numId w:val="8"/>
        </w:numPr>
      </w:pPr>
      <w:r w:rsidRPr="003E52BB">
        <w:t xml:space="preserve">Robert Shaw asked why the document was changed from a Memorandum of Understanding (MOU) to a Letter of Intent (LOI). </w:t>
      </w:r>
    </w:p>
    <w:p w14:paraId="5758ADDE" w14:textId="29207B2C" w:rsidR="003E52BB" w:rsidRPr="003E52BB" w:rsidRDefault="003E52BB" w:rsidP="003E52BB">
      <w:pPr>
        <w:numPr>
          <w:ilvl w:val="0"/>
          <w:numId w:val="8"/>
        </w:numPr>
      </w:pPr>
      <w:r w:rsidRPr="003E52BB">
        <w:t>Robert Springer summarized the attorney’s explanation and indicated a copy would be provided</w:t>
      </w:r>
      <w:r w:rsidR="001545D2">
        <w:t xml:space="preserve"> (see additional attachment).</w:t>
      </w:r>
    </w:p>
    <w:p w14:paraId="0012F804" w14:textId="77777777" w:rsidR="003E52BB" w:rsidRPr="003E52BB" w:rsidRDefault="003E52BB" w:rsidP="003E52BB">
      <w:pPr>
        <w:numPr>
          <w:ilvl w:val="0"/>
          <w:numId w:val="8"/>
        </w:numPr>
      </w:pPr>
      <w:r w:rsidRPr="003E52BB">
        <w:t xml:space="preserve">Questions were raised regarding benefits to Newberry Springs residents. </w:t>
      </w:r>
    </w:p>
    <w:p w14:paraId="72C1672D" w14:textId="77777777" w:rsidR="003E52BB" w:rsidRPr="003E52BB" w:rsidRDefault="003E52BB" w:rsidP="003E52BB">
      <w:pPr>
        <w:numPr>
          <w:ilvl w:val="1"/>
          <w:numId w:val="8"/>
        </w:numPr>
      </w:pPr>
      <w:r w:rsidRPr="003E52BB">
        <w:lastRenderedPageBreak/>
        <w:t xml:space="preserve">It was explained that the proposal could provide access to additional water through existing infrastructure. </w:t>
      </w:r>
    </w:p>
    <w:p w14:paraId="00A00C42" w14:textId="77777777" w:rsidR="003E52BB" w:rsidRPr="003E52BB" w:rsidRDefault="003E52BB" w:rsidP="003E52BB">
      <w:pPr>
        <w:numPr>
          <w:ilvl w:val="1"/>
          <w:numId w:val="8"/>
        </w:numPr>
      </w:pPr>
      <w:r w:rsidRPr="003E52BB">
        <w:t xml:space="preserve">Discussion included regional drought conditions, reliance on Mojave Water Agency, and the potential for Cadiz to provide future water supply options. </w:t>
      </w:r>
    </w:p>
    <w:p w14:paraId="1702F840" w14:textId="77777777" w:rsidR="003E52BB" w:rsidRPr="003E52BB" w:rsidRDefault="003E52BB" w:rsidP="003E52BB">
      <w:pPr>
        <w:numPr>
          <w:ilvl w:val="0"/>
          <w:numId w:val="8"/>
        </w:numPr>
      </w:pPr>
      <w:r w:rsidRPr="003E52BB">
        <w:t xml:space="preserve">General discussion occurred regarding water retention within the community versus regional export. </w:t>
      </w:r>
    </w:p>
    <w:p w14:paraId="67FA7289" w14:textId="77777777" w:rsidR="003E52BB" w:rsidRDefault="003E52BB" w:rsidP="003E52BB">
      <w:pPr>
        <w:numPr>
          <w:ilvl w:val="0"/>
          <w:numId w:val="8"/>
        </w:numPr>
      </w:pPr>
      <w:r w:rsidRPr="003E52BB">
        <w:t xml:space="preserve">Ted Stimpfel reiterated concerns noted in his memorandum, including references to the attorney’s caution regarding Cadiz. </w:t>
      </w:r>
    </w:p>
    <w:p w14:paraId="558486F7" w14:textId="77777777" w:rsidR="003E52BB" w:rsidRDefault="003E52BB" w:rsidP="003E52BB">
      <w:pPr>
        <w:numPr>
          <w:ilvl w:val="0"/>
          <w:numId w:val="8"/>
        </w:numPr>
      </w:pPr>
      <w:r>
        <w:t xml:space="preserve">Paul Deel asked about the removal of a previously included footnote; it was clarified that the attorney had struck that language. </w:t>
      </w:r>
    </w:p>
    <w:p w14:paraId="583A8C8B" w14:textId="77777777" w:rsidR="003E52BB" w:rsidRDefault="003E52BB" w:rsidP="003E52BB">
      <w:pPr>
        <w:numPr>
          <w:ilvl w:val="0"/>
          <w:numId w:val="8"/>
        </w:numPr>
      </w:pPr>
      <w:r>
        <w:t xml:space="preserve">Rose Beardshear asked whether specific language should be added regarding prior sustainability planning efforts (Baja Sustainability Plan). </w:t>
      </w:r>
    </w:p>
    <w:p w14:paraId="592E9007" w14:textId="77777777" w:rsidR="003E52BB" w:rsidRDefault="003E52BB" w:rsidP="003E52BB">
      <w:pPr>
        <w:numPr>
          <w:ilvl w:val="1"/>
          <w:numId w:val="8"/>
        </w:numPr>
      </w:pPr>
      <w:r>
        <w:t xml:space="preserve">Robert Springer indicated that existing language in the document was sufficient to address that topic. </w:t>
      </w:r>
    </w:p>
    <w:p w14:paraId="78157094" w14:textId="77777777" w:rsidR="003E52BB" w:rsidRPr="003E52BB" w:rsidRDefault="003E52BB" w:rsidP="003E52BB">
      <w:r w:rsidRPr="003E52BB">
        <w:pict w14:anchorId="2B1DBF78">
          <v:rect id="_x0000_i1045" style="width:0;height:1.5pt" o:hralign="center" o:hrstd="t" o:hr="t" fillcolor="#a0a0a0" stroked="f"/>
        </w:pict>
      </w:r>
    </w:p>
    <w:p w14:paraId="698CD1E7" w14:textId="77777777" w:rsidR="003E52BB" w:rsidRPr="003E52BB" w:rsidRDefault="003E52BB" w:rsidP="003E52BB">
      <w:pPr>
        <w:rPr>
          <w:b/>
          <w:bCs/>
        </w:rPr>
      </w:pPr>
      <w:r w:rsidRPr="003E52BB">
        <w:rPr>
          <w:b/>
          <w:bCs/>
        </w:rPr>
        <w:t>7. Committee Action</w:t>
      </w:r>
    </w:p>
    <w:p w14:paraId="5A5D79BC" w14:textId="77777777" w:rsidR="003E52BB" w:rsidRPr="003E52BB" w:rsidRDefault="003E52BB" w:rsidP="003E52BB">
      <w:r w:rsidRPr="003E52BB">
        <w:t xml:space="preserve">Motion made by Brad Forshner to forward the </w:t>
      </w:r>
      <w:r w:rsidRPr="003E52BB">
        <w:rPr>
          <w:b/>
          <w:bCs/>
        </w:rPr>
        <w:t>attorney-revised Letter of Intent (LOI)</w:t>
      </w:r>
      <w:r w:rsidRPr="003E52BB">
        <w:t xml:space="preserve"> to the Board of Directors for review and consideration.</w:t>
      </w:r>
      <w:r w:rsidRPr="003E52BB">
        <w:br/>
        <w:t>Seconded by Paul Deel.</w:t>
      </w:r>
    </w:p>
    <w:p w14:paraId="4F1413F0" w14:textId="77777777" w:rsidR="003E52BB" w:rsidRPr="003E52BB" w:rsidRDefault="003E52BB" w:rsidP="003E52BB">
      <w:r w:rsidRPr="003E52BB">
        <w:rPr>
          <w:b/>
          <w:bCs/>
        </w:rPr>
        <w:t>Vote:</w:t>
      </w:r>
    </w:p>
    <w:p w14:paraId="504DB494" w14:textId="77777777" w:rsidR="003E52BB" w:rsidRPr="003E52BB" w:rsidRDefault="003E52BB" w:rsidP="003E52BB">
      <w:pPr>
        <w:numPr>
          <w:ilvl w:val="0"/>
          <w:numId w:val="6"/>
        </w:numPr>
      </w:pPr>
      <w:r w:rsidRPr="003E52BB">
        <w:t xml:space="preserve">Yes: Matt Adams, Karen Grey, Robert Springer, Paul Deel, Brad Forshner, Rose Beardshear, Robert Shaw </w:t>
      </w:r>
    </w:p>
    <w:p w14:paraId="50157C2A" w14:textId="77777777" w:rsidR="003E52BB" w:rsidRPr="003E52BB" w:rsidRDefault="003E52BB" w:rsidP="003E52BB">
      <w:pPr>
        <w:numPr>
          <w:ilvl w:val="0"/>
          <w:numId w:val="6"/>
        </w:numPr>
      </w:pPr>
      <w:r w:rsidRPr="003E52BB">
        <w:t xml:space="preserve">No: Ted Stimpfel </w:t>
      </w:r>
    </w:p>
    <w:p w14:paraId="63492E66" w14:textId="77777777" w:rsidR="003E52BB" w:rsidRPr="003E52BB" w:rsidRDefault="003E52BB" w:rsidP="003E52BB">
      <w:r w:rsidRPr="003E52BB">
        <w:rPr>
          <w:b/>
          <w:bCs/>
        </w:rPr>
        <w:t>Motion carried (7–1).</w:t>
      </w:r>
    </w:p>
    <w:p w14:paraId="704BAA70" w14:textId="66BDC7D7" w:rsidR="003E52BB" w:rsidRPr="003E52BB" w:rsidRDefault="003E52BB" w:rsidP="003E52BB">
      <w:r w:rsidRPr="003E52BB">
        <w:t>At the request of Ted Stimpfel, his dissenting vote is noted in the record.</w:t>
      </w:r>
      <w:r w:rsidRPr="003E52BB">
        <w:pict w14:anchorId="2F47160B">
          <v:rect id="_x0000_i1031" style="width:0;height:1.5pt" o:hralign="center" o:hrstd="t" o:hr="t" fillcolor="#a0a0a0" stroked="f"/>
        </w:pict>
      </w:r>
    </w:p>
    <w:p w14:paraId="21D671CA" w14:textId="77777777" w:rsidR="003E52BB" w:rsidRPr="003E52BB" w:rsidRDefault="003E52BB" w:rsidP="003E52BB">
      <w:pPr>
        <w:rPr>
          <w:b/>
          <w:bCs/>
        </w:rPr>
      </w:pPr>
      <w:r w:rsidRPr="003E52BB">
        <w:rPr>
          <w:b/>
          <w:bCs/>
        </w:rPr>
        <w:t>8. Next Meeting</w:t>
      </w:r>
    </w:p>
    <w:p w14:paraId="11C95C85" w14:textId="6C589232" w:rsidR="003E52BB" w:rsidRPr="003E52BB" w:rsidRDefault="003E52BB" w:rsidP="003E52BB">
      <w:r w:rsidRPr="003E52BB">
        <w:t>The next meeting is scheduled for:</w:t>
      </w:r>
      <w:r w:rsidRPr="003E52BB">
        <w:br/>
      </w:r>
      <w:r w:rsidRPr="003E52BB">
        <w:rPr>
          <w:b/>
          <w:bCs/>
        </w:rPr>
        <w:t xml:space="preserve">Tuesday, May 19, </w:t>
      </w:r>
      <w:proofErr w:type="gramStart"/>
      <w:r w:rsidRPr="003E52BB">
        <w:rPr>
          <w:b/>
          <w:bCs/>
        </w:rPr>
        <w:t>2026</w:t>
      </w:r>
      <w:proofErr w:type="gramEnd"/>
      <w:r w:rsidRPr="003E52BB">
        <w:rPr>
          <w:b/>
          <w:bCs/>
        </w:rPr>
        <w:t xml:space="preserve"> at 6:00 p.m.</w:t>
      </w:r>
    </w:p>
    <w:p w14:paraId="14639A3A" w14:textId="5643B6A0" w:rsidR="003E52BB" w:rsidRPr="003E52BB" w:rsidRDefault="003E52BB" w:rsidP="003E52BB">
      <w:r w:rsidRPr="003E52BB">
        <w:rPr>
          <w:b/>
          <w:bCs/>
        </w:rPr>
        <w:t>9. Adjournment</w:t>
      </w:r>
      <w:r w:rsidR="00A80CF1">
        <w:rPr>
          <w:b/>
          <w:bCs/>
        </w:rPr>
        <w:t>--</w:t>
      </w:r>
      <w:r w:rsidRPr="003E52BB">
        <w:t xml:space="preserve">The meeting was adjourned at </w:t>
      </w:r>
      <w:r w:rsidRPr="003E52BB">
        <w:rPr>
          <w:b/>
          <w:bCs/>
        </w:rPr>
        <w:t>7:06 p.m.</w:t>
      </w:r>
    </w:p>
    <w:p w14:paraId="7DF83452" w14:textId="604F4464" w:rsidR="00D26900" w:rsidRPr="00A80CF1" w:rsidRDefault="00A80CF1">
      <w:pPr>
        <w:rPr>
          <w:b/>
          <w:bCs/>
        </w:rPr>
      </w:pPr>
      <w:r w:rsidRPr="00A80CF1">
        <w:rPr>
          <w:b/>
          <w:bCs/>
        </w:rPr>
        <w:lastRenderedPageBreak/>
        <w:t>Attachment A—Email from Ted Stimphel to Cadiz Committee &amp; CSD Board of Directors on 4/21/26 at 11:48 a.m.:</w:t>
      </w:r>
    </w:p>
    <w:p w14:paraId="32D68CEC" w14:textId="77777777" w:rsidR="00A80CF1" w:rsidRPr="00A80CF1" w:rsidRDefault="00A80CF1" w:rsidP="00A80CF1">
      <w:r w:rsidRPr="00A80CF1">
        <w:t>Dear Board of Directors,</w:t>
      </w:r>
    </w:p>
    <w:p w14:paraId="6BE90389" w14:textId="77777777" w:rsidR="00A80CF1" w:rsidRPr="00A80CF1" w:rsidRDefault="00A80CF1" w:rsidP="00A80CF1">
      <w:r w:rsidRPr="00A80CF1">
        <w:t>This memorandum serves as a formal inquiry and notice regarding the Item on today’s Committee agenda concerning the Memorandum of Understanding/Letter of Intent (“Document”).  I am writing to address significant procedural lapses and the substantial legal risks these actions impose upon the District, the Board, and individual members.</w:t>
      </w:r>
    </w:p>
    <w:p w14:paraId="65399BBF" w14:textId="77777777" w:rsidR="00A80CF1" w:rsidRPr="00A80CF1" w:rsidRDefault="00A80CF1" w:rsidP="00A80CF1">
      <w:pPr>
        <w:rPr>
          <w:b/>
          <w:bCs/>
        </w:rPr>
      </w:pPr>
      <w:r w:rsidRPr="00A80CF1">
        <w:rPr>
          <w:b/>
          <w:bCs/>
        </w:rPr>
        <w:t>I. Lack of Board Authorization and Procedural Due Process</w:t>
      </w:r>
    </w:p>
    <w:p w14:paraId="6E18EDB0" w14:textId="77777777" w:rsidR="00A80CF1" w:rsidRPr="00A80CF1" w:rsidRDefault="00A80CF1" w:rsidP="00A80CF1">
      <w:r w:rsidRPr="00A80CF1">
        <w:t>The Committee has been presented with a Document, purportedly edited by District Counsel, for "Possible Action." However, a review of the record indicates no official Board action authorizing the Committee to take such steps.</w:t>
      </w:r>
    </w:p>
    <w:p w14:paraId="4D636A14" w14:textId="77777777" w:rsidR="00A80CF1" w:rsidRPr="00A80CF1" w:rsidRDefault="00A80CF1" w:rsidP="00A80CF1">
      <w:pPr>
        <w:numPr>
          <w:ilvl w:val="0"/>
          <w:numId w:val="12"/>
        </w:numPr>
      </w:pPr>
      <w:r w:rsidRPr="00A80CF1">
        <w:rPr>
          <w:b/>
          <w:bCs/>
        </w:rPr>
        <w:t>Inquiry:</w:t>
      </w:r>
      <w:r w:rsidRPr="00A80CF1">
        <w:t> By what authority was this Document transmitted to the Committee? If this directive originated from an individual Board member or the General Manager without a recorded Board vote, it constitutes a breach of standard operating procedure and may exceed the scope of individual authority.</w:t>
      </w:r>
    </w:p>
    <w:p w14:paraId="79E965E4" w14:textId="77777777" w:rsidR="00A80CF1" w:rsidRPr="00A80CF1" w:rsidRDefault="00A80CF1" w:rsidP="00A80CF1">
      <w:pPr>
        <w:rPr>
          <w:b/>
          <w:bCs/>
        </w:rPr>
      </w:pPr>
      <w:r w:rsidRPr="00A80CF1">
        <w:rPr>
          <w:b/>
          <w:bCs/>
        </w:rPr>
        <w:t>II. Denial of Access to Legal Counsel</w:t>
      </w:r>
    </w:p>
    <w:p w14:paraId="09F6D9DC" w14:textId="77777777" w:rsidR="00A80CF1" w:rsidRPr="00A80CF1" w:rsidRDefault="00A80CF1" w:rsidP="00A80CF1">
      <w:r w:rsidRPr="00A80CF1">
        <w:t>While the Committee is being pressured to act on a legally sensitive document, it has been denied direct access to the Counsel who reviewed it. This creates a functional vacuum of informed consent.</w:t>
      </w:r>
    </w:p>
    <w:p w14:paraId="5E10947A" w14:textId="77777777" w:rsidR="00A80CF1" w:rsidRPr="00A80CF1" w:rsidRDefault="00A80CF1" w:rsidP="00A80CF1">
      <w:pPr>
        <w:numPr>
          <w:ilvl w:val="0"/>
          <w:numId w:val="13"/>
        </w:numPr>
      </w:pPr>
      <w:r w:rsidRPr="00A80CF1">
        <w:rPr>
          <w:b/>
          <w:bCs/>
        </w:rPr>
        <w:t>Legal Standing:</w:t>
      </w:r>
      <w:r w:rsidRPr="00A80CF1">
        <w:t xml:space="preserve"> We must clarify whether the Committee and its individual members are covered by the </w:t>
      </w:r>
      <w:proofErr w:type="gramStart"/>
      <w:r w:rsidRPr="00A80CF1">
        <w:t>District’s</w:t>
      </w:r>
      <w:proofErr w:type="gramEnd"/>
      <w:r w:rsidRPr="00A80CF1">
        <w:t xml:space="preserve"> legal representation in this specific matter, or if individual members are being placed in a position of </w:t>
      </w:r>
      <w:r w:rsidRPr="00A80CF1">
        <w:rPr>
          <w:b/>
          <w:bCs/>
        </w:rPr>
        <w:t>personal liability</w:t>
      </w:r>
      <w:r w:rsidRPr="00A80CF1">
        <w:t> by acting on legal documents without the benefit of counsel.</w:t>
      </w:r>
    </w:p>
    <w:p w14:paraId="3D1CF811" w14:textId="77777777" w:rsidR="00A80CF1" w:rsidRPr="00A80CF1" w:rsidRDefault="00A80CF1" w:rsidP="00A80CF1">
      <w:pPr>
        <w:rPr>
          <w:b/>
          <w:bCs/>
        </w:rPr>
      </w:pPr>
      <w:r w:rsidRPr="00A80CF1">
        <w:rPr>
          <w:b/>
          <w:bCs/>
        </w:rPr>
        <w:t>III. Disregard of Expert Legal Warnings</w:t>
      </w:r>
    </w:p>
    <w:p w14:paraId="1B6585A9" w14:textId="77777777" w:rsidR="00A80CF1" w:rsidRPr="00A80CF1" w:rsidRDefault="00A80CF1" w:rsidP="00A80CF1">
      <w:r w:rsidRPr="00A80CF1">
        <w:t>District Counsel has issued explicit, written warnings within the Document, stating: </w:t>
      </w:r>
      <w:r w:rsidRPr="00A80CF1">
        <w:rPr>
          <w:i/>
          <w:iCs/>
        </w:rPr>
        <w:t>“To be blunt, this company has a questionable history, so I urge CAUTION in entering into an MOU with this company.”</w:t>
      </w:r>
      <w:r w:rsidRPr="00A80CF1">
        <w:t>  Counsel further noted that the entity (Cadiz/Fenner) has a history of federal permit revocations.</w:t>
      </w:r>
    </w:p>
    <w:p w14:paraId="20C563F0" w14:textId="77777777" w:rsidR="00A80CF1" w:rsidRPr="00A80CF1" w:rsidRDefault="00A80CF1" w:rsidP="00A80CF1">
      <w:r w:rsidRPr="00A80CF1">
        <w:t>Proceeding with "Action" while being denied access to the underlying facts of these warnings suggests a </w:t>
      </w:r>
      <w:r w:rsidRPr="00A80CF1">
        <w:rPr>
          <w:b/>
          <w:bCs/>
        </w:rPr>
        <w:t>willful disregard for legal due diligence.</w:t>
      </w:r>
      <w:r w:rsidRPr="00A80CF1">
        <w:t xml:space="preserve"> To move forward under these conditions exposes the </w:t>
      </w:r>
      <w:proofErr w:type="gramStart"/>
      <w:r w:rsidRPr="00A80CF1">
        <w:t>District</w:t>
      </w:r>
      <w:proofErr w:type="gramEnd"/>
      <w:r w:rsidRPr="00A80CF1">
        <w:t xml:space="preserve"> to claims of gross negligence.</w:t>
      </w:r>
    </w:p>
    <w:p w14:paraId="4F97A2DD" w14:textId="77777777" w:rsidR="00A80CF1" w:rsidRPr="00A80CF1" w:rsidRDefault="00A80CF1" w:rsidP="00A80CF1">
      <w:pPr>
        <w:rPr>
          <w:b/>
          <w:bCs/>
        </w:rPr>
      </w:pPr>
      <w:r w:rsidRPr="00A80CF1">
        <w:rPr>
          <w:b/>
          <w:bCs/>
        </w:rPr>
        <w:t>IV. Potential Violations of State Law and Personal Liability</w:t>
      </w:r>
    </w:p>
    <w:p w14:paraId="074FC65D" w14:textId="77777777" w:rsidR="00A80CF1" w:rsidRPr="00A80CF1" w:rsidRDefault="00A80CF1" w:rsidP="00A80CF1">
      <w:r w:rsidRPr="00A80CF1">
        <w:lastRenderedPageBreak/>
        <w:t xml:space="preserve">The expenditure </w:t>
      </w:r>
      <w:proofErr w:type="gramStart"/>
      <w:r w:rsidRPr="00A80CF1">
        <w:t>of</w:t>
      </w:r>
      <w:proofErr w:type="gramEnd"/>
      <w:r w:rsidRPr="00A80CF1">
        <w:t xml:space="preserve"> taxpayer funds to review and promote an MOU/LOI for an unvetted private entity - specifically one with a "questionable history" - raises grave concerns regarding the following:</w:t>
      </w:r>
    </w:p>
    <w:p w14:paraId="1A799B9B" w14:textId="77777777" w:rsidR="00A80CF1" w:rsidRPr="00A80CF1" w:rsidRDefault="00A80CF1" w:rsidP="00A80CF1">
      <w:pPr>
        <w:numPr>
          <w:ilvl w:val="0"/>
          <w:numId w:val="14"/>
        </w:numPr>
      </w:pPr>
      <w:r w:rsidRPr="00A80CF1">
        <w:rPr>
          <w:b/>
          <w:bCs/>
        </w:rPr>
        <w:t>California Constitution, Article XVI, § 6:</w:t>
      </w:r>
      <w:r w:rsidRPr="00A80CF1">
        <w:t> Prohibits the gift of public funds. Using District resources to advance the interests of a private company that may lack the means to perform could be interpreted as an unconstitutional gift.</w:t>
      </w:r>
    </w:p>
    <w:p w14:paraId="4653372A" w14:textId="77777777" w:rsidR="00A80CF1" w:rsidRPr="00A80CF1" w:rsidRDefault="00A80CF1" w:rsidP="00A80CF1">
      <w:pPr>
        <w:numPr>
          <w:ilvl w:val="0"/>
          <w:numId w:val="14"/>
        </w:numPr>
      </w:pPr>
      <w:r w:rsidRPr="00A80CF1">
        <w:rPr>
          <w:b/>
          <w:bCs/>
        </w:rPr>
        <w:t>California Code of Civil Procedure § 526a:</w:t>
      </w:r>
      <w:r w:rsidRPr="00A80CF1">
        <w:t> Under this statute, individual Board members and Committee members may be held </w:t>
      </w:r>
      <w:r w:rsidRPr="00A80CF1">
        <w:rPr>
          <w:b/>
          <w:bCs/>
        </w:rPr>
        <w:t>personally liable in a taxpayer injunction suit</w:t>
      </w:r>
      <w:r w:rsidRPr="00A80CF1">
        <w:t> for the illegal expenditure or waste of District funds.</w:t>
      </w:r>
    </w:p>
    <w:p w14:paraId="01782665" w14:textId="77777777" w:rsidR="00A80CF1" w:rsidRPr="00A80CF1" w:rsidRDefault="00A80CF1" w:rsidP="00A80CF1">
      <w:r w:rsidRPr="00A80CF1">
        <w:t xml:space="preserve">By bypassing vetting processes and ignored Counsel’s warnings, members are "playing dice" with public funds, stripping themselves </w:t>
      </w:r>
      <w:proofErr w:type="gramStart"/>
      <w:r w:rsidRPr="00A80CF1">
        <w:t>of</w:t>
      </w:r>
      <w:proofErr w:type="gramEnd"/>
      <w:r w:rsidRPr="00A80CF1">
        <w:t xml:space="preserve"> the "Good Faith" protections typically afforded to public officials.</w:t>
      </w:r>
    </w:p>
    <w:p w14:paraId="7965A5E3" w14:textId="77777777" w:rsidR="00A80CF1" w:rsidRPr="00A80CF1" w:rsidRDefault="00A80CF1" w:rsidP="00A80CF1">
      <w:pPr>
        <w:rPr>
          <w:b/>
          <w:bCs/>
        </w:rPr>
      </w:pPr>
      <w:r w:rsidRPr="00A80CF1">
        <w:rPr>
          <w:b/>
          <w:bCs/>
        </w:rPr>
        <w:t>V. Agenda Sufficiency and Jurisdictional Limits</w:t>
      </w:r>
    </w:p>
    <w:p w14:paraId="4B99F452" w14:textId="77777777" w:rsidR="00A80CF1" w:rsidRPr="00A80CF1" w:rsidRDefault="00A80CF1" w:rsidP="00A80CF1">
      <w:r w:rsidRPr="00A80CF1">
        <w:t>The Agenda for the April 21, 2026, meeting is limited to the </w:t>
      </w:r>
      <w:r w:rsidRPr="00A80CF1">
        <w:rPr>
          <w:i/>
          <w:iCs/>
        </w:rPr>
        <w:t>review</w:t>
      </w:r>
      <w:r w:rsidRPr="00A80CF1">
        <w:t xml:space="preserve"> of the document. It does not provide the </w:t>
      </w:r>
      <w:proofErr w:type="gramStart"/>
      <w:r w:rsidRPr="00A80CF1">
        <w:t>Committee</w:t>
      </w:r>
      <w:proofErr w:type="gramEnd"/>
      <w:r w:rsidRPr="00A80CF1">
        <w:t xml:space="preserve"> the delegated power to take substantive action. Any action taken beyond the scope of the posted agenda of </w:t>
      </w:r>
      <w:r w:rsidRPr="00A80CF1">
        <w:rPr>
          <w:i/>
          <w:iCs/>
        </w:rPr>
        <w:t>review</w:t>
      </w:r>
      <w:r w:rsidRPr="00A80CF1">
        <w:t> may constitute a violation of the </w:t>
      </w:r>
      <w:r w:rsidRPr="00A80CF1">
        <w:rPr>
          <w:b/>
          <w:bCs/>
        </w:rPr>
        <w:t>Brown Act</w:t>
      </w:r>
      <w:r w:rsidRPr="00A80CF1">
        <w:t>, rendering such actions void and potentially subject to litigation.</w:t>
      </w:r>
    </w:p>
    <w:p w14:paraId="6C3EC0BB" w14:textId="77777777" w:rsidR="00A80CF1" w:rsidRPr="00A80CF1" w:rsidRDefault="00A80CF1" w:rsidP="00A80CF1">
      <w:r w:rsidRPr="00A80CF1">
        <w:pict w14:anchorId="2BE2B215">
          <v:rect id="_x0000_i1053" style="width:0;height:1.5pt" o:hralign="center" o:hrstd="t" o:hr="t" fillcolor="#a0a0a0" stroked="f"/>
        </w:pict>
      </w:r>
    </w:p>
    <w:p w14:paraId="3E74C90F" w14:textId="77777777" w:rsidR="00A80CF1" w:rsidRPr="00A80CF1" w:rsidRDefault="00A80CF1" w:rsidP="00A80CF1">
      <w:r w:rsidRPr="00A80CF1">
        <w:rPr>
          <w:b/>
          <w:bCs/>
        </w:rPr>
        <w:t>Conclusion</w:t>
      </w:r>
      <w:r w:rsidRPr="00A80CF1">
        <w:t xml:space="preserve"> I hereby request </w:t>
      </w:r>
      <w:proofErr w:type="gramStart"/>
      <w:r w:rsidRPr="00A80CF1">
        <w:t>an immediate</w:t>
      </w:r>
      <w:proofErr w:type="gramEnd"/>
      <w:r w:rsidRPr="00A80CF1">
        <w:t xml:space="preserve"> clarification on who authorized this directive and demand full access to our District Attorney’s findings before any further action is considered. Failure to rectify these procedural and transparency gaps could result in formal legal challenges and the personal indemnification of those involved. I do not wish the exposure.</w:t>
      </w:r>
    </w:p>
    <w:p w14:paraId="2152197F" w14:textId="77777777" w:rsidR="00A80CF1" w:rsidRPr="00A80CF1" w:rsidRDefault="00A80CF1" w:rsidP="00A80CF1">
      <w:r w:rsidRPr="00A80CF1">
        <w:t>Respectfully submitted,</w:t>
      </w:r>
    </w:p>
    <w:p w14:paraId="65A8D6D4" w14:textId="77777777" w:rsidR="00A80CF1" w:rsidRPr="00A80CF1" w:rsidRDefault="00A80CF1" w:rsidP="00A80CF1">
      <w:r w:rsidRPr="00A80CF1">
        <w:t>Ted Stimpfel</w:t>
      </w:r>
    </w:p>
    <w:p w14:paraId="50F9B664" w14:textId="77777777" w:rsidR="00A80CF1" w:rsidRDefault="00A80CF1"/>
    <w:p w14:paraId="53305B73" w14:textId="77777777" w:rsidR="00A80CF1" w:rsidRDefault="00A80CF1"/>
    <w:p w14:paraId="58A0CD2D" w14:textId="77777777" w:rsidR="00A80CF1" w:rsidRDefault="00A80CF1"/>
    <w:p w14:paraId="58875346" w14:textId="77777777" w:rsidR="00A80CF1" w:rsidRDefault="00A80CF1"/>
    <w:p w14:paraId="45417DDA" w14:textId="77777777" w:rsidR="00A80CF1" w:rsidRDefault="00A80CF1"/>
    <w:p w14:paraId="3B3D0798" w14:textId="77777777" w:rsidR="00A80CF1" w:rsidRDefault="00A80CF1"/>
    <w:p w14:paraId="06145414" w14:textId="0E5CE97C" w:rsidR="00A80CF1" w:rsidRPr="00A80CF1" w:rsidRDefault="00A80CF1" w:rsidP="00A80CF1">
      <w:pPr>
        <w:rPr>
          <w:b/>
          <w:bCs/>
        </w:rPr>
      </w:pPr>
      <w:r w:rsidRPr="001545D2">
        <w:rPr>
          <w:b/>
          <w:bCs/>
        </w:rPr>
        <w:lastRenderedPageBreak/>
        <w:t>Attachment B</w:t>
      </w:r>
      <w:r w:rsidR="001545D2" w:rsidRPr="001545D2">
        <w:rPr>
          <w:b/>
          <w:bCs/>
        </w:rPr>
        <w:t>—</w:t>
      </w:r>
      <w:r w:rsidRPr="00A80CF1">
        <w:rPr>
          <w:b/>
          <w:bCs/>
        </w:rPr>
        <w:t>Email</w:t>
      </w:r>
      <w:r w:rsidR="001545D2">
        <w:rPr>
          <w:b/>
          <w:bCs/>
        </w:rPr>
        <w:t xml:space="preserve"> in response to Ted Stimphel</w:t>
      </w:r>
      <w:r w:rsidRPr="00A80CF1">
        <w:rPr>
          <w:b/>
          <w:bCs/>
        </w:rPr>
        <w:t xml:space="preserve"> from </w:t>
      </w:r>
      <w:r>
        <w:rPr>
          <w:b/>
          <w:bCs/>
        </w:rPr>
        <w:t>Rose Beardshear</w:t>
      </w:r>
      <w:r w:rsidRPr="00A80CF1">
        <w:rPr>
          <w:b/>
          <w:bCs/>
        </w:rPr>
        <w:t xml:space="preserve"> to Cadiz Committee &amp; CSD Board of Directors on 4/21/26 at </w:t>
      </w:r>
      <w:r w:rsidR="001545D2">
        <w:rPr>
          <w:b/>
          <w:bCs/>
        </w:rPr>
        <w:t>5:23 p</w:t>
      </w:r>
      <w:r w:rsidRPr="00A80CF1">
        <w:rPr>
          <w:b/>
          <w:bCs/>
        </w:rPr>
        <w:t>.m.:</w:t>
      </w:r>
    </w:p>
    <w:p w14:paraId="39A6B3AF" w14:textId="77777777" w:rsidR="001545D2" w:rsidRPr="001545D2" w:rsidRDefault="001545D2" w:rsidP="001545D2">
      <w:r w:rsidRPr="001545D2">
        <w:t>Dear Board Members and Mr. Stimpfel,</w:t>
      </w:r>
    </w:p>
    <w:p w14:paraId="4B481551" w14:textId="77777777" w:rsidR="001545D2" w:rsidRPr="001545D2" w:rsidRDefault="001545D2" w:rsidP="001545D2">
      <w:r w:rsidRPr="001545D2">
        <w:t>Thank you for your memorandum regarding the Letter of Intent (LOI) under review.</w:t>
      </w:r>
    </w:p>
    <w:p w14:paraId="2766AEFA" w14:textId="77777777" w:rsidR="001545D2" w:rsidRPr="001545D2" w:rsidRDefault="001545D2" w:rsidP="001545D2">
      <w:r w:rsidRPr="001545D2">
        <w:t>After reviewing the agenda, the LOI, and standard procedural practices, I would like to offer the following clarifications:</w:t>
      </w:r>
    </w:p>
    <w:p w14:paraId="29536B89" w14:textId="77777777" w:rsidR="001545D2" w:rsidRPr="001545D2" w:rsidRDefault="001545D2" w:rsidP="001545D2">
      <w:r w:rsidRPr="001545D2">
        <w:t>First, the transmission of the attorney-reviewed document to the Committee is consistent with normal District operations. The Committee’s role is to review materials and provide recommendations to the Board. The current agenda item clearly authorizes “Discussion/Possible Action” regarding the attorney’s response, which falls squarely within that role.</w:t>
      </w:r>
    </w:p>
    <w:p w14:paraId="005141E3" w14:textId="77777777" w:rsidR="001545D2" w:rsidRPr="001545D2" w:rsidRDefault="001545D2" w:rsidP="001545D2">
      <w:r w:rsidRPr="001545D2">
        <w:t xml:space="preserve">Second, the Committee has not been denied legal guidance. District Counsel represents the </w:t>
      </w:r>
      <w:proofErr w:type="gramStart"/>
      <w:r w:rsidRPr="001545D2">
        <w:t>District</w:t>
      </w:r>
      <w:proofErr w:type="gramEnd"/>
      <w:r w:rsidRPr="001545D2">
        <w:t xml:space="preserve"> as a whole, and the written legal review provided is the appropriate and customary method for informing Committee deliberations.</w:t>
      </w:r>
    </w:p>
    <w:p w14:paraId="48595025" w14:textId="77777777" w:rsidR="001545D2" w:rsidRPr="001545D2" w:rsidRDefault="001545D2" w:rsidP="001545D2">
      <w:r w:rsidRPr="001545D2">
        <w:t xml:space="preserve">Third, while Counsel’s caution regarding Cadiz should absolutely be taken seriously and discussed openly, it is important to note that the LOI itself is explicitly non-binding and does not </w:t>
      </w:r>
      <w:proofErr w:type="gramStart"/>
      <w:r w:rsidRPr="001545D2">
        <w:t>obligate</w:t>
      </w:r>
      <w:proofErr w:type="gramEnd"/>
      <w:r w:rsidRPr="001545D2">
        <w:t xml:space="preserve"> the </w:t>
      </w:r>
      <w:proofErr w:type="gramStart"/>
      <w:r w:rsidRPr="001545D2">
        <w:t>District</w:t>
      </w:r>
      <w:proofErr w:type="gramEnd"/>
      <w:r w:rsidRPr="001545D2">
        <w:t xml:space="preserve"> to enter into any agreement. It is a preliminary step intended to evaluate feasibility—not a commitment.</w:t>
      </w:r>
    </w:p>
    <w:p w14:paraId="25647B81" w14:textId="77777777" w:rsidR="001545D2" w:rsidRPr="001545D2" w:rsidRDefault="001545D2" w:rsidP="001545D2">
      <w:r w:rsidRPr="001545D2">
        <w:t xml:space="preserve">Additionally, </w:t>
      </w:r>
      <w:proofErr w:type="gramStart"/>
      <w:r w:rsidRPr="001545D2">
        <w:t>the LOI</w:t>
      </w:r>
      <w:proofErr w:type="gramEnd"/>
      <w:r w:rsidRPr="001545D2">
        <w:t xml:space="preserve"> clearly states that Cadiz will bear the costs associated with feasibility studies, legal review, engineering, and grant-related work. As such, concerns regarding the expenditure or gifting of public funds do not appear applicable in this instance.</w:t>
      </w:r>
    </w:p>
    <w:p w14:paraId="1AE2C07C" w14:textId="77777777" w:rsidR="001545D2" w:rsidRPr="001545D2" w:rsidRDefault="001545D2" w:rsidP="001545D2">
      <w:r w:rsidRPr="001545D2">
        <w:t>Finally, the Brown Act requirements appear to be satisfied. The agenda provides sufficient notice for discussion and possible action related to the attorney’s response. Any recommendation made by the Committee would still be subject to full Board consideration and approval.</w:t>
      </w:r>
    </w:p>
    <w:p w14:paraId="07FF0681" w14:textId="77777777" w:rsidR="001545D2" w:rsidRPr="001545D2" w:rsidRDefault="001545D2" w:rsidP="001545D2">
      <w:r w:rsidRPr="001545D2">
        <w:t>That said, I agree that transparency and due diligence are essential. If there are specific questions for District Counsel, it may be appropriate to compile them and request clarification through proper channels so that all members are equally informed.</w:t>
      </w:r>
    </w:p>
    <w:p w14:paraId="5DA931D8" w14:textId="77777777" w:rsidR="001545D2" w:rsidRPr="001545D2" w:rsidRDefault="001545D2" w:rsidP="001545D2">
      <w:r w:rsidRPr="001545D2">
        <w:t>I remain committed to ensuring that any action taken is thoughtful, lawful, and in the best interest of the Newberry Springs community.</w:t>
      </w:r>
    </w:p>
    <w:p w14:paraId="0AA01143" w14:textId="2090F1B4" w:rsidR="00A80CF1" w:rsidRDefault="001545D2">
      <w:r w:rsidRPr="001545D2">
        <w:t>Respectfully,</w:t>
      </w:r>
      <w:r w:rsidRPr="001545D2">
        <w:br/>
        <w:t>Rose Beardshear</w:t>
      </w:r>
    </w:p>
    <w:p w14:paraId="1D503990" w14:textId="77777777" w:rsidR="00A80CF1" w:rsidRDefault="00A80CF1"/>
    <w:p w14:paraId="621CD2C1" w14:textId="77777777" w:rsidR="00A80CF1" w:rsidRPr="00A80CF1" w:rsidRDefault="00A80CF1" w:rsidP="00A80CF1">
      <w:r w:rsidRPr="00A80CF1">
        <w:t xml:space="preserve">The expenditure </w:t>
      </w:r>
      <w:proofErr w:type="gramStart"/>
      <w:r w:rsidRPr="00A80CF1">
        <w:t>of</w:t>
      </w:r>
      <w:proofErr w:type="gramEnd"/>
      <w:r w:rsidRPr="00A80CF1">
        <w:t xml:space="preserve"> taxpayer funds to review and promote an MOU/LOI for an unvetted private entity - specifically one with a "questionable history" - raises grave concerns regarding the following:</w:t>
      </w:r>
    </w:p>
    <w:p w14:paraId="06CE31E6" w14:textId="77777777" w:rsidR="00A80CF1" w:rsidRPr="00A80CF1" w:rsidRDefault="00A80CF1" w:rsidP="00A80CF1">
      <w:pPr>
        <w:numPr>
          <w:ilvl w:val="0"/>
          <w:numId w:val="11"/>
        </w:numPr>
      </w:pPr>
      <w:r w:rsidRPr="00A80CF1">
        <w:rPr>
          <w:b/>
          <w:bCs/>
        </w:rPr>
        <w:t>California Constitution, Article XVI, § 6:</w:t>
      </w:r>
      <w:r w:rsidRPr="00A80CF1">
        <w:t> Prohibits the gift of public funds. Using District resources to advance the interests of a private company that may lack the means to perform could be interpreted as an unconstitutional gift.</w:t>
      </w:r>
    </w:p>
    <w:p w14:paraId="2F5CFABB" w14:textId="77777777" w:rsidR="00A80CF1" w:rsidRPr="00A80CF1" w:rsidRDefault="00A80CF1" w:rsidP="00A80CF1">
      <w:pPr>
        <w:numPr>
          <w:ilvl w:val="0"/>
          <w:numId w:val="11"/>
        </w:numPr>
      </w:pPr>
      <w:r w:rsidRPr="00A80CF1">
        <w:rPr>
          <w:b/>
          <w:bCs/>
        </w:rPr>
        <w:t>California Code of Civil Procedure § 526a:</w:t>
      </w:r>
      <w:r w:rsidRPr="00A80CF1">
        <w:t> Under this statute, individual Board members and Committee members may be held </w:t>
      </w:r>
      <w:r w:rsidRPr="00A80CF1">
        <w:rPr>
          <w:b/>
          <w:bCs/>
        </w:rPr>
        <w:t>personally liable in a taxpayer injunction suit</w:t>
      </w:r>
      <w:r w:rsidRPr="00A80CF1">
        <w:t> for the illegal expenditure or waste of District funds.</w:t>
      </w:r>
    </w:p>
    <w:p w14:paraId="1D0B97ED" w14:textId="77777777" w:rsidR="00A80CF1" w:rsidRPr="00A80CF1" w:rsidRDefault="00A80CF1" w:rsidP="00A80CF1">
      <w:r w:rsidRPr="00A80CF1">
        <w:t xml:space="preserve">By bypassing vetting processes and ignored Counsel’s warnings, members are "playing dice" with public funds, stripping themselves </w:t>
      </w:r>
      <w:proofErr w:type="gramStart"/>
      <w:r w:rsidRPr="00A80CF1">
        <w:t>of</w:t>
      </w:r>
      <w:proofErr w:type="gramEnd"/>
      <w:r w:rsidRPr="00A80CF1">
        <w:t xml:space="preserve"> the "Good Faith" protections typically afforded to public officials.</w:t>
      </w:r>
    </w:p>
    <w:p w14:paraId="60D01738" w14:textId="77777777" w:rsidR="00A80CF1" w:rsidRPr="00A80CF1" w:rsidRDefault="00A80CF1" w:rsidP="00A80CF1">
      <w:pPr>
        <w:rPr>
          <w:b/>
          <w:bCs/>
        </w:rPr>
      </w:pPr>
      <w:r w:rsidRPr="00A80CF1">
        <w:rPr>
          <w:b/>
          <w:bCs/>
        </w:rPr>
        <w:t>V. Agenda Sufficiency and Jurisdictional Limits</w:t>
      </w:r>
    </w:p>
    <w:p w14:paraId="2A179B0F" w14:textId="77777777" w:rsidR="00A80CF1" w:rsidRPr="00A80CF1" w:rsidRDefault="00A80CF1" w:rsidP="00A80CF1">
      <w:r w:rsidRPr="00A80CF1">
        <w:t>The Agenda for the April 21, 2026, meeting is limited to the </w:t>
      </w:r>
      <w:r w:rsidRPr="00A80CF1">
        <w:rPr>
          <w:i/>
          <w:iCs/>
        </w:rPr>
        <w:t>review</w:t>
      </w:r>
      <w:r w:rsidRPr="00A80CF1">
        <w:t xml:space="preserve"> of the document. It does not provide the </w:t>
      </w:r>
      <w:proofErr w:type="gramStart"/>
      <w:r w:rsidRPr="00A80CF1">
        <w:t>Committee</w:t>
      </w:r>
      <w:proofErr w:type="gramEnd"/>
      <w:r w:rsidRPr="00A80CF1">
        <w:t xml:space="preserve"> the delegated power to take substantive action. Any action taken beyond the scope of the posted agenda of </w:t>
      </w:r>
      <w:r w:rsidRPr="00A80CF1">
        <w:rPr>
          <w:i/>
          <w:iCs/>
        </w:rPr>
        <w:t>review</w:t>
      </w:r>
      <w:r w:rsidRPr="00A80CF1">
        <w:t> may constitute a violation of the </w:t>
      </w:r>
      <w:r w:rsidRPr="00A80CF1">
        <w:rPr>
          <w:b/>
          <w:bCs/>
        </w:rPr>
        <w:t>Brown Act</w:t>
      </w:r>
      <w:r w:rsidRPr="00A80CF1">
        <w:t>, rendering such actions void and potentially subject to litigation.</w:t>
      </w:r>
    </w:p>
    <w:p w14:paraId="66A44E83" w14:textId="77777777" w:rsidR="00A80CF1" w:rsidRPr="00A80CF1" w:rsidRDefault="00A80CF1" w:rsidP="00A80CF1">
      <w:r w:rsidRPr="00A80CF1">
        <w:pict w14:anchorId="775FC282">
          <v:rect id="_x0000_i1047" style="width:0;height:1.5pt" o:hralign="center" o:hrstd="t" o:hr="t" fillcolor="#a0a0a0" stroked="f"/>
        </w:pict>
      </w:r>
    </w:p>
    <w:p w14:paraId="4864DD0B" w14:textId="77777777" w:rsidR="00A80CF1" w:rsidRPr="00A80CF1" w:rsidRDefault="00A80CF1" w:rsidP="00A80CF1">
      <w:r w:rsidRPr="00A80CF1">
        <w:rPr>
          <w:b/>
          <w:bCs/>
        </w:rPr>
        <w:t>Conclusion</w:t>
      </w:r>
      <w:r w:rsidRPr="00A80CF1">
        <w:t xml:space="preserve"> I hereby request </w:t>
      </w:r>
      <w:proofErr w:type="gramStart"/>
      <w:r w:rsidRPr="00A80CF1">
        <w:t>an immediate</w:t>
      </w:r>
      <w:proofErr w:type="gramEnd"/>
      <w:r w:rsidRPr="00A80CF1">
        <w:t xml:space="preserve"> clarification on who authorized this directive and demand full access to our District Attorney’s findings before any further action is considered. Failure to rectify these procedural and transparency gaps could result in formal legal challenges and the personal indemnification of those involved. I do not wish the exposure.</w:t>
      </w:r>
    </w:p>
    <w:p w14:paraId="6080C696" w14:textId="77777777" w:rsidR="00A80CF1" w:rsidRPr="00A80CF1" w:rsidRDefault="00A80CF1" w:rsidP="00A80CF1">
      <w:r w:rsidRPr="00A80CF1">
        <w:t>Respectfully submitted,</w:t>
      </w:r>
    </w:p>
    <w:p w14:paraId="474F4F4B" w14:textId="77777777" w:rsidR="00A80CF1" w:rsidRPr="00A80CF1" w:rsidRDefault="00A80CF1" w:rsidP="00A80CF1">
      <w:r w:rsidRPr="00A80CF1">
        <w:t>Ted Stimpfel</w:t>
      </w:r>
    </w:p>
    <w:p w14:paraId="48A1D22D" w14:textId="77777777" w:rsidR="00A80CF1" w:rsidRPr="00A80CF1" w:rsidRDefault="00A80CF1" w:rsidP="00A80CF1">
      <w:r w:rsidRPr="00A80CF1">
        <w:t> </w:t>
      </w:r>
    </w:p>
    <w:p w14:paraId="0308F1B3" w14:textId="77777777" w:rsidR="00A80CF1" w:rsidRPr="00A80CF1" w:rsidRDefault="00A80CF1" w:rsidP="00A80CF1">
      <w:r w:rsidRPr="00A80CF1">
        <w:t> </w:t>
      </w:r>
    </w:p>
    <w:p w14:paraId="092D2258" w14:textId="19FD166A" w:rsidR="00A80CF1" w:rsidRPr="00A80CF1" w:rsidRDefault="00A80CF1" w:rsidP="00A80CF1">
      <w:r w:rsidRPr="00A80CF1">
        <w:lastRenderedPageBreak/>
        <w:drawing>
          <wp:inline distT="0" distB="0" distL="0" distR="0" wp14:anchorId="2FB5DF8D" wp14:editId="530FA36B">
            <wp:extent cx="762000" cy="762000"/>
            <wp:effectExtent l="0" t="0" r="0" b="0"/>
            <wp:docPr id="790473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44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382"/>
        <w:gridCol w:w="1973"/>
        <w:gridCol w:w="5"/>
      </w:tblGrid>
      <w:tr w:rsidR="00A80CF1" w:rsidRPr="00A80CF1" w14:paraId="2B1A826F" w14:textId="77777777">
        <w:tc>
          <w:tcPr>
            <w:tcW w:w="8734" w:type="dxa"/>
            <w:noWrap/>
            <w:hideMark/>
          </w:tcPr>
          <w:tbl>
            <w:tblPr>
              <w:tblW w:w="8734" w:type="dxa"/>
              <w:tblCellMar>
                <w:left w:w="0" w:type="dxa"/>
                <w:right w:w="0" w:type="dxa"/>
              </w:tblCellMar>
              <w:tblLook w:val="04A0" w:firstRow="1" w:lastRow="0" w:firstColumn="1" w:lastColumn="0" w:noHBand="0" w:noVBand="1"/>
            </w:tblPr>
            <w:tblGrid>
              <w:gridCol w:w="8734"/>
            </w:tblGrid>
            <w:tr w:rsidR="00A80CF1" w:rsidRPr="00A80CF1" w14:paraId="2E541781" w14:textId="77777777">
              <w:tc>
                <w:tcPr>
                  <w:tcW w:w="0" w:type="auto"/>
                  <w:vAlign w:val="center"/>
                  <w:hideMark/>
                </w:tcPr>
                <w:p w14:paraId="238B33EF" w14:textId="77777777" w:rsidR="00A80CF1" w:rsidRPr="00A80CF1" w:rsidRDefault="00A80CF1" w:rsidP="00A80CF1">
                  <w:pPr>
                    <w:rPr>
                      <w:b/>
                      <w:bCs/>
                    </w:rPr>
                  </w:pPr>
                  <w:r w:rsidRPr="00A80CF1">
                    <w:rPr>
                      <w:b/>
                      <w:bCs/>
                    </w:rPr>
                    <w:t xml:space="preserve">rose </w:t>
                  </w:r>
                  <w:proofErr w:type="spellStart"/>
                  <w:r w:rsidRPr="00A80CF1">
                    <w:rPr>
                      <w:b/>
                      <w:bCs/>
                    </w:rPr>
                    <w:t>beardshear</w:t>
                  </w:r>
                  <w:proofErr w:type="spellEnd"/>
                </w:p>
              </w:tc>
            </w:tr>
          </w:tbl>
          <w:p w14:paraId="6B168996" w14:textId="77777777" w:rsidR="00A80CF1" w:rsidRPr="00A80CF1" w:rsidRDefault="00A80CF1" w:rsidP="00A80CF1"/>
        </w:tc>
        <w:tc>
          <w:tcPr>
            <w:tcW w:w="0" w:type="auto"/>
            <w:noWrap/>
            <w:hideMark/>
          </w:tcPr>
          <w:p w14:paraId="5AA94041" w14:textId="77777777" w:rsidR="00A80CF1" w:rsidRPr="00A80CF1" w:rsidRDefault="00A80CF1" w:rsidP="00A80CF1">
            <w:r w:rsidRPr="00A80CF1">
              <w:t>5:23</w:t>
            </w:r>
            <w:r w:rsidRPr="00A80CF1">
              <w:rPr>
                <w:rFonts w:ascii="Arial" w:hAnsi="Arial" w:cs="Arial"/>
              </w:rPr>
              <w:t> </w:t>
            </w:r>
            <w:r w:rsidRPr="00A80CF1">
              <w:t>PM (17 hours ago)</w:t>
            </w:r>
          </w:p>
        </w:tc>
        <w:tc>
          <w:tcPr>
            <w:tcW w:w="0" w:type="auto"/>
            <w:noWrap/>
            <w:hideMark/>
          </w:tcPr>
          <w:p w14:paraId="2A12F07B" w14:textId="77777777" w:rsidR="00A80CF1" w:rsidRPr="00A80CF1" w:rsidRDefault="00A80CF1" w:rsidP="00A80CF1"/>
        </w:tc>
        <w:tc>
          <w:tcPr>
            <w:tcW w:w="0" w:type="auto"/>
            <w:gridSpan w:val="0"/>
            <w:vMerge w:val="restart"/>
            <w:noWrap/>
            <w:hideMark/>
          </w:tcPr>
          <w:p w14:paraId="33A0639E" w14:textId="77777777" w:rsidR="00A80CF1" w:rsidRPr="00A80CF1" w:rsidRDefault="00A80CF1" w:rsidP="00A80CF1"/>
        </w:tc>
      </w:tr>
      <w:tr w:rsidR="00A80CF1" w:rsidRPr="00A80CF1" w14:paraId="0636005C" w14:textId="77777777">
        <w:tc>
          <w:tcPr>
            <w:tcW w:w="0" w:type="auto"/>
            <w:gridSpan w:val="3"/>
            <w:vAlign w:val="center"/>
            <w:hideMark/>
          </w:tcPr>
          <w:tbl>
            <w:tblPr>
              <w:tblW w:w="12960" w:type="dxa"/>
              <w:tblCellMar>
                <w:left w:w="0" w:type="dxa"/>
                <w:right w:w="0" w:type="dxa"/>
              </w:tblCellMar>
              <w:tblLook w:val="04A0" w:firstRow="1" w:lastRow="0" w:firstColumn="1" w:lastColumn="0" w:noHBand="0" w:noVBand="1"/>
            </w:tblPr>
            <w:tblGrid>
              <w:gridCol w:w="12960"/>
            </w:tblGrid>
            <w:tr w:rsidR="00A80CF1" w:rsidRPr="00A80CF1" w14:paraId="0149E627" w14:textId="77777777">
              <w:tc>
                <w:tcPr>
                  <w:tcW w:w="0" w:type="auto"/>
                  <w:noWrap/>
                  <w:vAlign w:val="center"/>
                  <w:hideMark/>
                </w:tcPr>
                <w:p w14:paraId="330AB497" w14:textId="77777777" w:rsidR="00A80CF1" w:rsidRPr="00A80CF1" w:rsidRDefault="00A80CF1" w:rsidP="00A80CF1">
                  <w:r w:rsidRPr="00A80CF1">
                    <w:t>to Newberry, Robert, Mike, Paula, Margie, Jack, NewberryCSD, Dr, Robert, Karen, </w:t>
                  </w:r>
                  <w:proofErr w:type="gramStart"/>
                  <w:r w:rsidRPr="00A80CF1">
                    <w:t>Paul</w:t>
                  </w:r>
                  <w:proofErr w:type="gramEnd"/>
                  <w:r w:rsidRPr="00A80CF1">
                    <w:t>, B, bcc: Cathryn</w:t>
                  </w:r>
                </w:p>
                <w:p w14:paraId="3CBEDDA5" w14:textId="100384E3" w:rsidR="00A80CF1" w:rsidRPr="00A80CF1" w:rsidRDefault="00A80CF1" w:rsidP="00A80CF1">
                  <w:r w:rsidRPr="00A80CF1">
                    <w:drawing>
                      <wp:inline distT="0" distB="0" distL="0" distR="0" wp14:anchorId="6F4DF478" wp14:editId="2DE6F2F6">
                        <wp:extent cx="6350" cy="6350"/>
                        <wp:effectExtent l="0" t="0" r="0" b="0"/>
                        <wp:docPr id="1606379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0B0F062A" w14:textId="77777777" w:rsidR="00A80CF1" w:rsidRPr="00A80CF1" w:rsidRDefault="00A80CF1" w:rsidP="00A80CF1"/>
        </w:tc>
        <w:tc>
          <w:tcPr>
            <w:tcW w:w="0" w:type="auto"/>
            <w:gridSpan w:val="0"/>
            <w:vMerge/>
            <w:vAlign w:val="center"/>
            <w:hideMark/>
          </w:tcPr>
          <w:p w14:paraId="5A6C423D" w14:textId="77777777" w:rsidR="00A80CF1" w:rsidRPr="00A80CF1" w:rsidRDefault="00A80CF1" w:rsidP="00A80CF1"/>
        </w:tc>
      </w:tr>
    </w:tbl>
    <w:p w14:paraId="60B86B4A" w14:textId="77777777" w:rsidR="00A80CF1" w:rsidRPr="00A80CF1" w:rsidRDefault="00A80CF1" w:rsidP="00A80CF1">
      <w:r w:rsidRPr="00A80CF1">
        <w:t>Dear Board Members and Mr. Stimpfel,</w:t>
      </w:r>
    </w:p>
    <w:p w14:paraId="1DF8D39F" w14:textId="77777777" w:rsidR="00A80CF1" w:rsidRPr="00A80CF1" w:rsidRDefault="00A80CF1" w:rsidP="00A80CF1">
      <w:r w:rsidRPr="00A80CF1">
        <w:t>Thank you for your memorandum regarding the Letter of Intent (LOI) under review.</w:t>
      </w:r>
    </w:p>
    <w:p w14:paraId="6DDB3727" w14:textId="77777777" w:rsidR="00A80CF1" w:rsidRPr="00A80CF1" w:rsidRDefault="00A80CF1" w:rsidP="00A80CF1">
      <w:r w:rsidRPr="00A80CF1">
        <w:t>After reviewing the agenda, the LOI, and standard procedural practices, I would like to offer the following clarifications:</w:t>
      </w:r>
    </w:p>
    <w:p w14:paraId="0DDFBC72" w14:textId="77777777" w:rsidR="00A80CF1" w:rsidRPr="00A80CF1" w:rsidRDefault="00A80CF1" w:rsidP="00A80CF1">
      <w:r w:rsidRPr="00A80CF1">
        <w:t>First, the transmission of the attorney-reviewed document to the Committee is consistent with normal District operations. The Committee’s role is to review materials and provide recommendations to the Board. The current agenda item clearly authorizes “Discussion/Possible Action” regarding the attorney’s response, which falls squarely within that role.</w:t>
      </w:r>
    </w:p>
    <w:p w14:paraId="5B4D1CD5" w14:textId="77777777" w:rsidR="00A80CF1" w:rsidRPr="00A80CF1" w:rsidRDefault="00A80CF1" w:rsidP="00A80CF1">
      <w:r w:rsidRPr="00A80CF1">
        <w:t xml:space="preserve">Second, the Committee has not been denied legal guidance. District Counsel represents the </w:t>
      </w:r>
      <w:proofErr w:type="gramStart"/>
      <w:r w:rsidRPr="00A80CF1">
        <w:t>District</w:t>
      </w:r>
      <w:proofErr w:type="gramEnd"/>
      <w:r w:rsidRPr="00A80CF1">
        <w:t xml:space="preserve"> as a whole, and the written legal review provided is the appropriate and customary method for informing Committee deliberations.</w:t>
      </w:r>
    </w:p>
    <w:p w14:paraId="3857F2CB" w14:textId="77777777" w:rsidR="00A80CF1" w:rsidRPr="00A80CF1" w:rsidRDefault="00A80CF1" w:rsidP="00A80CF1">
      <w:r w:rsidRPr="00A80CF1">
        <w:t xml:space="preserve">Third, while Counsel’s caution regarding Cadiz should absolutely be taken seriously and discussed openly, it is important to note that the LOI itself is explicitly non-binding and does not </w:t>
      </w:r>
      <w:proofErr w:type="gramStart"/>
      <w:r w:rsidRPr="00A80CF1">
        <w:t>obligate</w:t>
      </w:r>
      <w:proofErr w:type="gramEnd"/>
      <w:r w:rsidRPr="00A80CF1">
        <w:t xml:space="preserve"> the </w:t>
      </w:r>
      <w:proofErr w:type="gramStart"/>
      <w:r w:rsidRPr="00A80CF1">
        <w:t>District</w:t>
      </w:r>
      <w:proofErr w:type="gramEnd"/>
      <w:r w:rsidRPr="00A80CF1">
        <w:t xml:space="preserve"> to enter into any agreement. It is a preliminary step intended to evaluate feasibility—not a commitment.</w:t>
      </w:r>
    </w:p>
    <w:p w14:paraId="210A204D" w14:textId="77777777" w:rsidR="00A80CF1" w:rsidRPr="00A80CF1" w:rsidRDefault="00A80CF1" w:rsidP="00A80CF1">
      <w:r w:rsidRPr="00A80CF1">
        <w:t xml:space="preserve">Additionally, </w:t>
      </w:r>
      <w:proofErr w:type="gramStart"/>
      <w:r w:rsidRPr="00A80CF1">
        <w:t>the LOI</w:t>
      </w:r>
      <w:proofErr w:type="gramEnd"/>
      <w:r w:rsidRPr="00A80CF1">
        <w:t xml:space="preserve"> clearly states that Cadiz will bear the costs associated with feasibility studies, legal review, engineering, and grant-related work. As such, concerns regarding the expenditure or gifting of public funds do not appear applicable in this instance.</w:t>
      </w:r>
    </w:p>
    <w:p w14:paraId="1C85F98D" w14:textId="77777777" w:rsidR="00A80CF1" w:rsidRPr="00A80CF1" w:rsidRDefault="00A80CF1" w:rsidP="00A80CF1">
      <w:r w:rsidRPr="00A80CF1">
        <w:t>Finally, the Brown Act requirements appear to be satisfied. The agenda provides sufficient notice for discussion and possible action related to the attorney’s response. Any recommendation made by the Committee would still be subject to full Board consideration and approval.</w:t>
      </w:r>
    </w:p>
    <w:p w14:paraId="5AC345F3" w14:textId="77777777" w:rsidR="00A80CF1" w:rsidRPr="00A80CF1" w:rsidRDefault="00A80CF1" w:rsidP="00A80CF1">
      <w:r w:rsidRPr="00A80CF1">
        <w:t>That said, I agree that transparency and due diligence are essential. If there are specific questions for District Counsel, it may be appropriate to compile them and request clarification through proper channels so that all members are equally informed.</w:t>
      </w:r>
    </w:p>
    <w:p w14:paraId="105F702B" w14:textId="77777777" w:rsidR="00A80CF1" w:rsidRPr="00A80CF1" w:rsidRDefault="00A80CF1" w:rsidP="00A80CF1">
      <w:r w:rsidRPr="00A80CF1">
        <w:t>I remain committed to ensuring that any action taken is thoughtful, lawful, and in the best interest of the Newberry Springs community.</w:t>
      </w:r>
    </w:p>
    <w:p w14:paraId="385EE2E2" w14:textId="77777777" w:rsidR="00A80CF1" w:rsidRPr="00A80CF1" w:rsidRDefault="00A80CF1" w:rsidP="00A80CF1">
      <w:r w:rsidRPr="00A80CF1">
        <w:t>Respectfully,</w:t>
      </w:r>
      <w:r w:rsidRPr="00A80CF1">
        <w:br/>
        <w:t>Rose Beardshear</w:t>
      </w:r>
    </w:p>
    <w:p w14:paraId="751DBD08" w14:textId="77777777" w:rsidR="00A80CF1" w:rsidRDefault="00A80CF1"/>
    <w:sectPr w:rsidR="00A80C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6AF9" w14:textId="77777777" w:rsidR="00A269FB" w:rsidRDefault="00A269FB" w:rsidP="00A80CF1">
      <w:pPr>
        <w:spacing w:after="0" w:line="240" w:lineRule="auto"/>
      </w:pPr>
      <w:r>
        <w:separator/>
      </w:r>
    </w:p>
  </w:endnote>
  <w:endnote w:type="continuationSeparator" w:id="0">
    <w:p w14:paraId="036BD8B7" w14:textId="77777777" w:rsidR="00A269FB" w:rsidRDefault="00A269FB" w:rsidP="00A8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799845"/>
      <w:docPartObj>
        <w:docPartGallery w:val="Page Numbers (Bottom of Page)"/>
        <w:docPartUnique/>
      </w:docPartObj>
    </w:sdtPr>
    <w:sdtEndPr>
      <w:rPr>
        <w:noProof/>
      </w:rPr>
    </w:sdtEndPr>
    <w:sdtContent>
      <w:p w14:paraId="2F86C0E9" w14:textId="0ADFBD51" w:rsidR="00A80CF1" w:rsidRDefault="00A80C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2DC185" w14:textId="77777777" w:rsidR="00A80CF1" w:rsidRDefault="00A80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F42F" w14:textId="77777777" w:rsidR="00A269FB" w:rsidRDefault="00A269FB" w:rsidP="00A80CF1">
      <w:pPr>
        <w:spacing w:after="0" w:line="240" w:lineRule="auto"/>
      </w:pPr>
      <w:r>
        <w:separator/>
      </w:r>
    </w:p>
  </w:footnote>
  <w:footnote w:type="continuationSeparator" w:id="0">
    <w:p w14:paraId="6394AB54" w14:textId="77777777" w:rsidR="00A269FB" w:rsidRDefault="00A269FB" w:rsidP="00A80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67B"/>
    <w:multiLevelType w:val="multilevel"/>
    <w:tmpl w:val="975A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6532D"/>
    <w:multiLevelType w:val="multilevel"/>
    <w:tmpl w:val="7300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D64B2"/>
    <w:multiLevelType w:val="multilevel"/>
    <w:tmpl w:val="8608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37D31"/>
    <w:multiLevelType w:val="multilevel"/>
    <w:tmpl w:val="28C0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F3DD0"/>
    <w:multiLevelType w:val="multilevel"/>
    <w:tmpl w:val="210C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E62A6"/>
    <w:multiLevelType w:val="multilevel"/>
    <w:tmpl w:val="AA7A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0D210E"/>
    <w:multiLevelType w:val="multilevel"/>
    <w:tmpl w:val="A7DC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96017"/>
    <w:multiLevelType w:val="multilevel"/>
    <w:tmpl w:val="548A8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A23E1"/>
    <w:multiLevelType w:val="multilevel"/>
    <w:tmpl w:val="38A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5616F2"/>
    <w:multiLevelType w:val="multilevel"/>
    <w:tmpl w:val="0A1A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D085D"/>
    <w:multiLevelType w:val="multilevel"/>
    <w:tmpl w:val="222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EE4476"/>
    <w:multiLevelType w:val="multilevel"/>
    <w:tmpl w:val="6C9C2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246666"/>
    <w:multiLevelType w:val="multilevel"/>
    <w:tmpl w:val="6080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170EA2"/>
    <w:multiLevelType w:val="multilevel"/>
    <w:tmpl w:val="1870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370689">
    <w:abstractNumId w:val="3"/>
  </w:num>
  <w:num w:numId="2" w16cid:durableId="166480373">
    <w:abstractNumId w:val="5"/>
  </w:num>
  <w:num w:numId="3" w16cid:durableId="850725375">
    <w:abstractNumId w:val="12"/>
  </w:num>
  <w:num w:numId="4" w16cid:durableId="1489401618">
    <w:abstractNumId w:val="2"/>
  </w:num>
  <w:num w:numId="5" w16cid:durableId="1220048256">
    <w:abstractNumId w:val="7"/>
  </w:num>
  <w:num w:numId="6" w16cid:durableId="1168639674">
    <w:abstractNumId w:val="13"/>
  </w:num>
  <w:num w:numId="7" w16cid:durableId="905338051">
    <w:abstractNumId w:val="4"/>
  </w:num>
  <w:num w:numId="8" w16cid:durableId="887839023">
    <w:abstractNumId w:val="11"/>
  </w:num>
  <w:num w:numId="9" w16cid:durableId="2029482353">
    <w:abstractNumId w:val="1"/>
  </w:num>
  <w:num w:numId="10" w16cid:durableId="75903044">
    <w:abstractNumId w:val="6"/>
  </w:num>
  <w:num w:numId="11" w16cid:durableId="1366370257">
    <w:abstractNumId w:val="9"/>
  </w:num>
  <w:num w:numId="12" w16cid:durableId="990207324">
    <w:abstractNumId w:val="0"/>
  </w:num>
  <w:num w:numId="13" w16cid:durableId="1735931936">
    <w:abstractNumId w:val="10"/>
  </w:num>
  <w:num w:numId="14" w16cid:durableId="213276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BB"/>
    <w:rsid w:val="001545D2"/>
    <w:rsid w:val="003E52BB"/>
    <w:rsid w:val="00627B29"/>
    <w:rsid w:val="009C5BAC"/>
    <w:rsid w:val="00A269FB"/>
    <w:rsid w:val="00A80CF1"/>
    <w:rsid w:val="00D26900"/>
    <w:rsid w:val="00F6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3C44"/>
  <w15:chartTrackingRefBased/>
  <w15:docId w15:val="{252C7F76-0C9B-42AD-954D-5D905884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2BB"/>
    <w:rPr>
      <w:rFonts w:eastAsiaTheme="majorEastAsia" w:cstheme="majorBidi"/>
      <w:color w:val="272727" w:themeColor="text1" w:themeTint="D8"/>
    </w:rPr>
  </w:style>
  <w:style w:type="paragraph" w:styleId="Title">
    <w:name w:val="Title"/>
    <w:basedOn w:val="Normal"/>
    <w:next w:val="Normal"/>
    <w:link w:val="TitleChar"/>
    <w:uiPriority w:val="10"/>
    <w:qFormat/>
    <w:rsid w:val="003E5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2BB"/>
    <w:pPr>
      <w:spacing w:before="160"/>
      <w:jc w:val="center"/>
    </w:pPr>
    <w:rPr>
      <w:i/>
      <w:iCs/>
      <w:color w:val="404040" w:themeColor="text1" w:themeTint="BF"/>
    </w:rPr>
  </w:style>
  <w:style w:type="character" w:customStyle="1" w:styleId="QuoteChar">
    <w:name w:val="Quote Char"/>
    <w:basedOn w:val="DefaultParagraphFont"/>
    <w:link w:val="Quote"/>
    <w:uiPriority w:val="29"/>
    <w:rsid w:val="003E52BB"/>
    <w:rPr>
      <w:i/>
      <w:iCs/>
      <w:color w:val="404040" w:themeColor="text1" w:themeTint="BF"/>
    </w:rPr>
  </w:style>
  <w:style w:type="paragraph" w:styleId="ListParagraph">
    <w:name w:val="List Paragraph"/>
    <w:basedOn w:val="Normal"/>
    <w:uiPriority w:val="34"/>
    <w:qFormat/>
    <w:rsid w:val="003E52BB"/>
    <w:pPr>
      <w:ind w:left="720"/>
      <w:contextualSpacing/>
    </w:pPr>
  </w:style>
  <w:style w:type="character" w:styleId="IntenseEmphasis">
    <w:name w:val="Intense Emphasis"/>
    <w:basedOn w:val="DefaultParagraphFont"/>
    <w:uiPriority w:val="21"/>
    <w:qFormat/>
    <w:rsid w:val="003E52BB"/>
    <w:rPr>
      <w:i/>
      <w:iCs/>
      <w:color w:val="0F4761" w:themeColor="accent1" w:themeShade="BF"/>
    </w:rPr>
  </w:style>
  <w:style w:type="paragraph" w:styleId="IntenseQuote">
    <w:name w:val="Intense Quote"/>
    <w:basedOn w:val="Normal"/>
    <w:next w:val="Normal"/>
    <w:link w:val="IntenseQuoteChar"/>
    <w:uiPriority w:val="30"/>
    <w:qFormat/>
    <w:rsid w:val="003E5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2BB"/>
    <w:rPr>
      <w:i/>
      <w:iCs/>
      <w:color w:val="0F4761" w:themeColor="accent1" w:themeShade="BF"/>
    </w:rPr>
  </w:style>
  <w:style w:type="character" w:styleId="IntenseReference">
    <w:name w:val="Intense Reference"/>
    <w:basedOn w:val="DefaultParagraphFont"/>
    <w:uiPriority w:val="32"/>
    <w:qFormat/>
    <w:rsid w:val="003E52BB"/>
    <w:rPr>
      <w:b/>
      <w:bCs/>
      <w:smallCaps/>
      <w:color w:val="0F4761" w:themeColor="accent1" w:themeShade="BF"/>
      <w:spacing w:val="5"/>
    </w:rPr>
  </w:style>
  <w:style w:type="character" w:styleId="Hyperlink">
    <w:name w:val="Hyperlink"/>
    <w:basedOn w:val="DefaultParagraphFont"/>
    <w:uiPriority w:val="99"/>
    <w:unhideWhenUsed/>
    <w:rsid w:val="00A80CF1"/>
    <w:rPr>
      <w:color w:val="467886" w:themeColor="hyperlink"/>
      <w:u w:val="single"/>
    </w:rPr>
  </w:style>
  <w:style w:type="character" w:styleId="UnresolvedMention">
    <w:name w:val="Unresolved Mention"/>
    <w:basedOn w:val="DefaultParagraphFont"/>
    <w:uiPriority w:val="99"/>
    <w:semiHidden/>
    <w:unhideWhenUsed/>
    <w:rsid w:val="00A80CF1"/>
    <w:rPr>
      <w:color w:val="605E5C"/>
      <w:shd w:val="clear" w:color="auto" w:fill="E1DFDD"/>
    </w:rPr>
  </w:style>
  <w:style w:type="paragraph" w:styleId="Header">
    <w:name w:val="header"/>
    <w:basedOn w:val="Normal"/>
    <w:link w:val="HeaderChar"/>
    <w:uiPriority w:val="99"/>
    <w:unhideWhenUsed/>
    <w:rsid w:val="00A80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CF1"/>
  </w:style>
  <w:style w:type="paragraph" w:styleId="Footer">
    <w:name w:val="footer"/>
    <w:basedOn w:val="Normal"/>
    <w:link w:val="FooterChar"/>
    <w:uiPriority w:val="99"/>
    <w:unhideWhenUsed/>
    <w:rsid w:val="00A80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2041</Words>
  <Characters>12149</Characters>
  <Application>Microsoft Office Word</Application>
  <DocSecurity>0</DocSecurity>
  <Lines>220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Beardshear</dc:creator>
  <cp:keywords/>
  <dc:description/>
  <cp:lastModifiedBy>Rose Beardshear</cp:lastModifiedBy>
  <cp:revision>1</cp:revision>
  <dcterms:created xsi:type="dcterms:W3CDTF">2026-04-22T17:27:00Z</dcterms:created>
  <dcterms:modified xsi:type="dcterms:W3CDTF">2026-04-22T17:57:00Z</dcterms:modified>
</cp:coreProperties>
</file>