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color w:val="2e75b5"/>
          <w:sz w:val="22"/>
          <w:szCs w:val="22"/>
        </w:rPr>
      </w:pPr>
      <w:r w:rsidDel="00000000" w:rsidR="00000000" w:rsidRPr="00000000">
        <w:rPr>
          <w:rFonts w:ascii="Arial" w:cs="Arial" w:eastAsia="Arial" w:hAnsi="Arial"/>
          <w:color w:val="2e75b5"/>
          <w:sz w:val="22"/>
          <w:szCs w:val="22"/>
          <w:rtl w:val="0"/>
        </w:rPr>
        <w:t xml:space="preserve">Planning Grant</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color w:val="2e75b5"/>
          <w:sz w:val="22"/>
          <w:szCs w:val="22"/>
        </w:rPr>
      </w:pPr>
      <w:r w:rsidDel="00000000" w:rsidR="00000000" w:rsidRPr="00000000">
        <w:rPr>
          <w:rFonts w:ascii="Arial" w:cs="Arial" w:eastAsia="Arial" w:hAnsi="Arial"/>
          <w:color w:val="2e75b5"/>
          <w:sz w:val="22"/>
          <w:szCs w:val="22"/>
          <w:rtl w:val="0"/>
        </w:rPr>
        <w:t xml:space="preserve">General Narrative Questions</w:t>
      </w:r>
    </w:p>
    <w:p w:rsidR="00000000" w:rsidDel="00000000" w:rsidP="00000000" w:rsidRDefault="00000000" w:rsidRPr="00000000" w14:paraId="00000003">
      <w:pPr>
        <w:pStyle w:val="Heading2"/>
        <w:rPr>
          <w:sz w:val="22"/>
          <w:szCs w:val="22"/>
        </w:rPr>
      </w:pPr>
      <w:r w:rsidDel="00000000" w:rsidR="00000000" w:rsidRPr="00000000">
        <w:rPr>
          <w:sz w:val="22"/>
          <w:szCs w:val="22"/>
          <w:rtl w:val="0"/>
        </w:rPr>
        <w:t xml:space="preserve">Application Information</w:t>
      </w:r>
    </w:p>
    <w:tbl>
      <w:tblPr>
        <w:tblStyle w:val="Table1"/>
        <w:tblW w:w="95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7769"/>
        <w:tblGridChange w:id="0">
          <w:tblGrid>
            <w:gridCol w:w="1795"/>
            <w:gridCol w:w="7769"/>
          </w:tblGrid>
        </w:tblGridChange>
      </w:tblGrid>
      <w:tr>
        <w:trPr>
          <w:cantSplit w:val="0"/>
          <w:trHeight w:val="262" w:hRule="atLeast"/>
          <w:tblHeader w:val="0"/>
        </w:trPr>
        <w:tc>
          <w:tcPr/>
          <w:p w:rsidR="00000000" w:rsidDel="00000000" w:rsidP="00000000" w:rsidRDefault="00000000" w:rsidRPr="00000000" w14:paraId="00000004">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Lead Applicant</w:t>
            </w:r>
          </w:p>
        </w:tc>
        <w:tc>
          <w:tcPr/>
          <w:p w:rsidR="00000000" w:rsidDel="00000000" w:rsidP="00000000" w:rsidRDefault="00000000" w:rsidRPr="00000000" w14:paraId="00000005">
            <w:pPr>
              <w:spacing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Newberry Community Service District</w:t>
            </w:r>
          </w:p>
        </w:tc>
      </w:tr>
      <w:tr>
        <w:trPr>
          <w:cantSplit w:val="0"/>
          <w:trHeight w:val="254" w:hRule="atLeast"/>
          <w:tblHeader w:val="0"/>
        </w:trPr>
        <w:tc>
          <w:tcPr/>
          <w:p w:rsidR="00000000" w:rsidDel="00000000" w:rsidP="00000000" w:rsidRDefault="00000000" w:rsidRPr="00000000" w14:paraId="00000006">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Jurisdiction</w:t>
            </w:r>
          </w:p>
        </w:tc>
        <w:tc>
          <w:tcPr/>
          <w:p w:rsidR="00000000" w:rsidDel="00000000" w:rsidP="00000000" w:rsidRDefault="00000000" w:rsidRPr="00000000" w14:paraId="00000007">
            <w:pPr>
              <w:spacing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Newberry Community Service District/San Bernardino County</w:t>
            </w:r>
          </w:p>
        </w:tc>
      </w:tr>
      <w:tr>
        <w:trPr>
          <w:cantSplit w:val="0"/>
          <w:trHeight w:val="262" w:hRule="atLeast"/>
          <w:tblHeader w:val="0"/>
        </w:trPr>
        <w:tc>
          <w:tcPr/>
          <w:p w:rsidR="00000000" w:rsidDel="00000000" w:rsidP="00000000" w:rsidRDefault="00000000" w:rsidRPr="00000000" w14:paraId="00000008">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Proposal Name</w:t>
            </w:r>
          </w:p>
        </w:tc>
        <w:tc>
          <w:tcPr/>
          <w:p w:rsidR="00000000" w:rsidDel="00000000" w:rsidP="00000000" w:rsidRDefault="00000000" w:rsidRPr="00000000" w14:paraId="00000009">
            <w:pPr>
              <w:spacing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Newberry Springs Community Enhancement Project</w:t>
            </w:r>
          </w:p>
        </w:tc>
      </w:tr>
    </w:tbl>
    <w:p w:rsidR="00000000" w:rsidDel="00000000" w:rsidP="00000000" w:rsidRDefault="00000000" w:rsidRPr="00000000" w14:paraId="0000000A">
      <w:pPr>
        <w:pStyle w:val="Heading2"/>
        <w:rPr>
          <w:sz w:val="22"/>
          <w:szCs w:val="22"/>
        </w:rPr>
      </w:pPr>
      <w:r w:rsidDel="00000000" w:rsidR="00000000" w:rsidRPr="00000000">
        <w:rPr>
          <w:rtl w:val="0"/>
        </w:rPr>
      </w:r>
    </w:p>
    <w:p w:rsidR="00000000" w:rsidDel="00000000" w:rsidP="00000000" w:rsidRDefault="00000000" w:rsidRPr="00000000" w14:paraId="0000000B">
      <w:pPr>
        <w:pStyle w:val="Heading2"/>
        <w:rPr>
          <w:sz w:val="22"/>
          <w:szCs w:val="22"/>
        </w:rPr>
      </w:pPr>
      <w:r w:rsidDel="00000000" w:rsidR="00000000" w:rsidRPr="00000000">
        <w:rPr>
          <w:sz w:val="22"/>
          <w:szCs w:val="22"/>
          <w:rtl w:val="0"/>
        </w:rPr>
        <w:t xml:space="preserve">Instructions</w:t>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Word counts</w:t>
      </w:r>
      <w:r w:rsidDel="00000000" w:rsidR="00000000" w:rsidRPr="00000000">
        <w:rPr>
          <w:rFonts w:ascii="Arial" w:cs="Arial" w:eastAsia="Arial" w:hAnsi="Arial"/>
          <w:color w:val="000000"/>
          <w:sz w:val="22"/>
          <w:szCs w:val="22"/>
          <w:rtl w:val="0"/>
        </w:rPr>
        <w:t xml:space="preserve"> are listed for each question. Responses that exceed the word count limit will not be reviewed. Use the Word Count tool to check responses.</w:t>
      </w:r>
    </w:p>
    <w:p w:rsidR="00000000" w:rsidDel="00000000" w:rsidP="00000000" w:rsidRDefault="00000000" w:rsidRPr="00000000" w14:paraId="0000000D">
      <w:pPr>
        <w:numPr>
          <w:ilvl w:val="0"/>
          <w:numId w:val="8"/>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b w:val="1"/>
          <w:color w:val="000000"/>
          <w:sz w:val="22"/>
          <w:szCs w:val="22"/>
          <w:rtl w:val="0"/>
        </w:rPr>
        <w:t xml:space="preserve">Maps, figures, and pictures</w:t>
      </w:r>
      <w:r w:rsidDel="00000000" w:rsidR="00000000" w:rsidRPr="00000000">
        <w:rPr>
          <w:rFonts w:ascii="Arial" w:cs="Arial" w:eastAsia="Arial" w:hAnsi="Arial"/>
          <w:color w:val="000000"/>
          <w:sz w:val="22"/>
          <w:szCs w:val="22"/>
          <w:rtl w:val="0"/>
        </w:rPr>
        <w:t xml:space="preserve"> may also be included as part of the responses. Note that explanations and captions for any visual aids will still count towards the Word Count.</w:t>
      </w:r>
    </w:p>
    <w:p w:rsidR="00000000" w:rsidDel="00000000" w:rsidP="00000000" w:rsidRDefault="00000000" w:rsidRPr="00000000" w14:paraId="0000000E">
      <w:pPr>
        <w:numPr>
          <w:ilvl w:val="0"/>
          <w:numId w:val="8"/>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Formatting</w:t>
      </w:r>
      <w:sdt>
        <w:sdtPr>
          <w:tag w:val="goog_rdk_0"/>
        </w:sdtPr>
        <w:sdtContent>
          <w:r w:rsidDel="00000000" w:rsidR="00000000" w:rsidRPr="00000000">
            <w:rPr>
              <w:rFonts w:ascii="Fira Mono" w:cs="Fira Mono" w:eastAsia="Fira Mono" w:hAnsi="Fira Mono"/>
              <w:color w:val="000000"/>
              <w:sz w:val="22"/>
              <w:szCs w:val="22"/>
              <w:rtl w:val="0"/>
            </w:rPr>
            <w:t xml:space="preserve"> such as bullet points (●, ○, ⮚), lettering (a, b, c), or underline may be used to organize responses. Avoid excessive formatting so that responses are easy to read. </w:t>
          </w:r>
        </w:sdtContent>
      </w:sdt>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Naming conventions</w:t>
      </w:r>
      <w:r w:rsidDel="00000000" w:rsidR="00000000" w:rsidRPr="00000000">
        <w:rPr>
          <w:rFonts w:ascii="Arial" w:cs="Arial" w:eastAsia="Arial" w:hAnsi="Arial"/>
          <w:color w:val="000000"/>
          <w:sz w:val="22"/>
          <w:szCs w:val="22"/>
          <w:rtl w:val="0"/>
        </w:rPr>
        <w:t xml:space="preserve"> for all Application materials have been provided in the </w:t>
      </w:r>
      <w:r w:rsidDel="00000000" w:rsidR="00000000" w:rsidRPr="00000000">
        <w:rPr>
          <w:rFonts w:ascii="Arial" w:cs="Arial" w:eastAsia="Arial" w:hAnsi="Arial"/>
          <w:color w:val="000000"/>
          <w:sz w:val="22"/>
          <w:szCs w:val="22"/>
          <w:u w:val="single"/>
          <w:rtl w:val="0"/>
        </w:rPr>
        <w:t xml:space="preserve">TCC Round 5 Planning Grant Application Instructions</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0">
      <w:pPr>
        <w:pStyle w:val="Heading2"/>
        <w:rPr>
          <w:sz w:val="22"/>
          <w:szCs w:val="22"/>
        </w:rPr>
      </w:pPr>
      <w:r w:rsidDel="00000000" w:rsidR="00000000" w:rsidRPr="00000000">
        <w:rPr>
          <w:sz w:val="22"/>
          <w:szCs w:val="22"/>
          <w:rtl w:val="0"/>
        </w:rPr>
        <w:t xml:space="preserve">Checklist</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Use the checklist below to ensure all materials have been submitted as part of the Application.</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color w:val="000000"/>
          <w:sz w:val="22"/>
          <w:szCs w:val="22"/>
          <w:highlight w:val="white"/>
          <w:rtl w:val="0"/>
        </w:rPr>
        <w:t xml:space="preserve">General Narrative Questions </w:t>
      </w:r>
      <w:r w:rsidDel="00000000" w:rsidR="00000000" w:rsidRPr="00000000">
        <w:rPr>
          <w:rFonts w:ascii="Arial" w:cs="Arial" w:eastAsia="Arial" w:hAnsi="Arial"/>
          <w:color w:val="000000"/>
          <w:sz w:val="22"/>
          <w:szCs w:val="22"/>
          <w:highlight w:val="white"/>
          <w:rtl w:val="0"/>
        </w:rPr>
        <w:t xml:space="preserve">(this Word document) </w:t>
      </w:r>
      <w:r w:rsidDel="00000000" w:rsidR="00000000" w:rsidRPr="00000000">
        <w:rPr>
          <w:rtl w:val="0"/>
        </w:rPr>
      </w:r>
    </w:p>
    <w:p w:rsidR="00000000" w:rsidDel="00000000" w:rsidP="00000000" w:rsidRDefault="00000000" w:rsidRPr="00000000" w14:paraId="00000014">
      <w:p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Workbook </w:t>
      </w:r>
      <w:r w:rsidDel="00000000" w:rsidR="00000000" w:rsidRPr="00000000">
        <w:rPr>
          <w:rFonts w:ascii="Arial" w:cs="Arial" w:eastAsia="Arial" w:hAnsi="Arial"/>
          <w:sz w:val="22"/>
          <w:szCs w:val="22"/>
          <w:rtl w:val="0"/>
        </w:rPr>
        <w:t xml:space="preserve">(Excel)</w:t>
      </w:r>
      <w:r w:rsidDel="00000000" w:rsidR="00000000" w:rsidRPr="00000000">
        <w:rPr>
          <w:rtl w:val="0"/>
        </w:rPr>
      </w:r>
    </w:p>
    <w:p w:rsidR="00000000" w:rsidDel="00000000" w:rsidP="00000000" w:rsidRDefault="00000000" w:rsidRPr="00000000" w14:paraId="00000015">
      <w:pPr>
        <w:ind w:left="360" w:hanging="36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 Project Area Maps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(Two formats: 1) PDF, 2) a .zip file that contains the .shp, .shx, .dbf, and .prj files that comprises the proposed Project Area shapefile)</w:t>
      </w:r>
    </w:p>
    <w:p w:rsidR="00000000" w:rsidDel="00000000" w:rsidP="00000000" w:rsidRDefault="00000000" w:rsidRPr="00000000" w14:paraId="00000016">
      <w:p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Supporting Documentation for Disadvantaged Unincorporated Areas Designations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if applicable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7">
      <w:p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Letter of Commitment from Lead Applicant and Co-Applicants </w:t>
      </w:r>
      <w:r w:rsidDel="00000000" w:rsidR="00000000" w:rsidRPr="00000000">
        <w:rPr>
          <w:rFonts w:ascii="Arial" w:cs="Arial" w:eastAsia="Arial" w:hAnsi="Arial"/>
          <w:sz w:val="22"/>
          <w:szCs w:val="22"/>
          <w:rtl w:val="0"/>
        </w:rPr>
        <w:t xml:space="preserve">(pdf)</w:t>
      </w:r>
      <w:r w:rsidDel="00000000" w:rsidR="00000000" w:rsidRPr="00000000">
        <w:rPr>
          <w:rtl w:val="0"/>
        </w:rPr>
      </w:r>
    </w:p>
    <w:p w:rsidR="00000000" w:rsidDel="00000000" w:rsidP="00000000" w:rsidRDefault="00000000" w:rsidRPr="00000000" w14:paraId="00000018">
      <w:p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Adopted Resolution from Lead Applicant </w:t>
      </w:r>
      <w:r w:rsidDel="00000000" w:rsidR="00000000" w:rsidRPr="00000000">
        <w:rPr>
          <w:rFonts w:ascii="Arial" w:cs="Arial" w:eastAsia="Arial" w:hAnsi="Arial"/>
          <w:i w:val="1"/>
          <w:sz w:val="22"/>
          <w:szCs w:val="22"/>
          <w:rtl w:val="0"/>
        </w:rPr>
        <w:t xml:space="preserve">or </w:t>
      </w:r>
      <w:r w:rsidDel="00000000" w:rsidR="00000000" w:rsidRPr="00000000">
        <w:rPr>
          <w:rFonts w:ascii="Arial" w:cs="Arial" w:eastAsia="Arial" w:hAnsi="Arial"/>
          <w:b w:val="1"/>
          <w:sz w:val="22"/>
          <w:szCs w:val="22"/>
          <w:rtl w:val="0"/>
        </w:rPr>
        <w:t xml:space="preserve">Letter of Commitment from the Public Agency Co-Applicant </w:t>
      </w:r>
      <w:r w:rsidDel="00000000" w:rsidR="00000000" w:rsidRPr="00000000">
        <w:rPr>
          <w:rFonts w:ascii="Arial" w:cs="Arial" w:eastAsia="Arial" w:hAnsi="Arial"/>
          <w:sz w:val="22"/>
          <w:szCs w:val="22"/>
          <w:rtl w:val="0"/>
        </w:rPr>
        <w:t xml:space="preserve">(pdf)</w:t>
      </w:r>
      <w:r w:rsidDel="00000000" w:rsidR="00000000" w:rsidRPr="00000000">
        <w:rPr>
          <w:rtl w:val="0"/>
        </w:rPr>
      </w:r>
    </w:p>
    <w:p w:rsidR="00000000" w:rsidDel="00000000" w:rsidP="00000000" w:rsidRDefault="00000000" w:rsidRPr="00000000" w14:paraId="00000019">
      <w:p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 Memorandum of Understanding </w:t>
      </w:r>
      <w:r w:rsidDel="00000000" w:rsidR="00000000" w:rsidRPr="00000000">
        <w:rPr>
          <w:rFonts w:ascii="Arial" w:cs="Arial" w:eastAsia="Arial" w:hAnsi="Arial"/>
          <w:i w:val="1"/>
          <w:sz w:val="22"/>
          <w:szCs w:val="22"/>
          <w:rtl w:val="0"/>
        </w:rPr>
        <w:t xml:space="preserve">or </w:t>
      </w:r>
      <w:r w:rsidDel="00000000" w:rsidR="00000000" w:rsidRPr="00000000">
        <w:rPr>
          <w:rFonts w:ascii="Arial" w:cs="Arial" w:eastAsia="Arial" w:hAnsi="Arial"/>
          <w:b w:val="1"/>
          <w:sz w:val="22"/>
          <w:szCs w:val="22"/>
          <w:rtl w:val="0"/>
        </w:rPr>
        <w:t xml:space="preserve">Letter of Commitment for applications with multiple jurisdictions </w:t>
      </w:r>
      <w:r w:rsidDel="00000000" w:rsidR="00000000" w:rsidRPr="00000000">
        <w:rPr>
          <w:rFonts w:ascii="Arial" w:cs="Arial" w:eastAsia="Arial" w:hAnsi="Arial"/>
          <w:sz w:val="22"/>
          <w:szCs w:val="22"/>
          <w:rtl w:val="0"/>
        </w:rPr>
        <w:t xml:space="preserve">(pdf)</w:t>
      </w:r>
    </w:p>
    <w:p w:rsidR="00000000" w:rsidDel="00000000" w:rsidP="00000000" w:rsidRDefault="00000000" w:rsidRPr="00000000" w14:paraId="0000001A">
      <w:p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Letter from Local Jurisdiction’s Planning and Public Works Department, or equivalent </w:t>
      </w:r>
      <w:r w:rsidDel="00000000" w:rsidR="00000000" w:rsidRPr="00000000">
        <w:rPr>
          <w:rFonts w:ascii="Arial" w:cs="Arial" w:eastAsia="Arial" w:hAnsi="Arial"/>
          <w:sz w:val="22"/>
          <w:szCs w:val="22"/>
          <w:rtl w:val="0"/>
        </w:rPr>
        <w:t xml:space="preserve">demonstrating Consistency with Local Planning</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(pdf)</w:t>
      </w:r>
      <w:r w:rsidDel="00000000" w:rsidR="00000000" w:rsidRPr="00000000">
        <w:rPr>
          <w:rtl w:val="0"/>
        </w:rPr>
      </w:r>
    </w:p>
    <w:p w:rsidR="00000000" w:rsidDel="00000000" w:rsidP="00000000" w:rsidRDefault="00000000" w:rsidRPr="00000000" w14:paraId="0000001B">
      <w:p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Letters of Commitment for Site Control </w:t>
      </w:r>
      <w:r w:rsidDel="00000000" w:rsidR="00000000" w:rsidRPr="00000000">
        <w:rPr>
          <w:rFonts w:ascii="Arial" w:cs="Arial" w:eastAsia="Arial" w:hAnsi="Arial"/>
          <w:sz w:val="22"/>
          <w:szCs w:val="22"/>
          <w:rtl w:val="0"/>
        </w:rPr>
        <w:t xml:space="preserve">(pdf)</w:t>
      </w: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2"/>
        <w:rPr>
          <w:sz w:val="22"/>
          <w:szCs w:val="22"/>
        </w:rPr>
      </w:pPr>
      <w:r w:rsidDel="00000000" w:rsidR="00000000" w:rsidRPr="00000000">
        <w:rPr>
          <w:sz w:val="22"/>
          <w:szCs w:val="22"/>
          <w:rtl w:val="0"/>
        </w:rPr>
        <w:t xml:space="preserve">Vision for Transformation</w:t>
      </w:r>
    </w:p>
    <w:p w:rsidR="00000000" w:rsidDel="00000000" w:rsidP="00000000" w:rsidRDefault="00000000" w:rsidRPr="00000000" w14:paraId="0000001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pStyle w:val="Heading3"/>
        <w:rPr>
          <w:b w:val="1"/>
        </w:rPr>
      </w:pPr>
      <w:r w:rsidDel="00000000" w:rsidR="00000000" w:rsidRPr="00000000">
        <w:rPr>
          <w:b w:val="1"/>
          <w:rtl w:val="0"/>
        </w:rPr>
        <w:t xml:space="preserve">Planning Area </w:t>
      </w:r>
      <w:r w:rsidDel="00000000" w:rsidR="00000000" w:rsidRPr="00000000">
        <w:rPr>
          <w:b w:val="1"/>
          <w:rtl w:val="0"/>
        </w:rPr>
        <w:t xml:space="preserve">Profile</w:t>
      </w: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numPr>
          <w:ilvl w:val="0"/>
          <w:numId w:val="7"/>
        </w:numPr>
        <w:pBdr>
          <w:top w:space="0" w:sz="0" w:val="nil"/>
          <w:left w:space="0" w:sz="0" w:val="nil"/>
          <w:bottom w:space="0" w:sz="0" w:val="nil"/>
          <w:right w:space="0" w:sz="0" w:val="nil"/>
          <w:between w:space="0" w:sz="0" w:val="nil"/>
        </w:pBdr>
        <w:tabs>
          <w:tab w:val="left" w:leader="none" w:pos="1267"/>
        </w:tabs>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how the proposed TCC Planning Project activities will lead to, and or, achieve the overall TCC program objectives of reducing GHGs, improving public health and environmental benefits, and expanding economic opportunity and shared prosperity in the Planning Area. </w:t>
      </w:r>
      <w:r w:rsidDel="00000000" w:rsidR="00000000" w:rsidRPr="00000000">
        <w:rPr>
          <w:rFonts w:ascii="Arial" w:cs="Arial" w:eastAsia="Arial" w:hAnsi="Arial"/>
          <w:b w:val="1"/>
          <w:color w:val="000000"/>
          <w:sz w:val="22"/>
          <w:szCs w:val="22"/>
          <w:rtl w:val="0"/>
        </w:rPr>
        <w:t xml:space="preserve">(200 words)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1267"/>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2">
      <w:pPr>
        <w:numPr>
          <w:ilvl w:val="1"/>
          <w:numId w:val="7"/>
        </w:numPr>
        <w:pBdr>
          <w:top w:space="0" w:sz="0" w:val="nil"/>
          <w:left w:space="0" w:sz="0" w:val="nil"/>
          <w:bottom w:space="0" w:sz="0" w:val="nil"/>
          <w:right w:space="0" w:sz="0" w:val="nil"/>
          <w:between w:space="0" w:sz="0" w:val="nil"/>
        </w:pBdr>
        <w:ind w:left="108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Achieving Significant Reductions in Greenhouse Gas Emissions</w:t>
      </w:r>
    </w:p>
    <w:p w:rsidR="00000000" w:rsidDel="00000000" w:rsidP="00000000" w:rsidRDefault="00000000" w:rsidRPr="00000000" w14:paraId="00000023">
      <w:pPr>
        <w:numPr>
          <w:ilvl w:val="1"/>
          <w:numId w:val="7"/>
        </w:numPr>
        <w:pBdr>
          <w:top w:space="0" w:sz="0" w:val="nil"/>
          <w:left w:space="0" w:sz="0" w:val="nil"/>
          <w:bottom w:space="0" w:sz="0" w:val="nil"/>
          <w:right w:space="0" w:sz="0" w:val="nil"/>
          <w:between w:space="0" w:sz="0" w:val="nil"/>
        </w:pBdr>
        <w:ind w:left="108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Improving Public Health and Environmental Benefits</w:t>
      </w:r>
    </w:p>
    <w:p w:rsidR="00000000" w:rsidDel="00000000" w:rsidP="00000000" w:rsidRDefault="00000000" w:rsidRPr="00000000" w14:paraId="00000024">
      <w:pPr>
        <w:numPr>
          <w:ilvl w:val="1"/>
          <w:numId w:val="7"/>
        </w:numPr>
        <w:pBdr>
          <w:top w:space="0" w:sz="0" w:val="nil"/>
          <w:left w:space="0" w:sz="0" w:val="nil"/>
          <w:bottom w:space="0" w:sz="0" w:val="nil"/>
          <w:right w:space="0" w:sz="0" w:val="nil"/>
          <w:between w:space="0" w:sz="0" w:val="nil"/>
        </w:pBdr>
        <w:ind w:left="108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Expanding Economic Opportunity and Shared Prosperity</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hd w:fill="ffffff" w:val="clear"/>
        <w:spacing w:after="360" w:lineRule="auto"/>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Newberry Springs Community Enhancement Project is a comprehensive plan to improve the quality of life in the community with three main components:</w:t>
      </w:r>
    </w:p>
    <w:p w:rsidR="00000000" w:rsidDel="00000000" w:rsidP="00000000" w:rsidRDefault="00000000" w:rsidRPr="00000000" w14:paraId="00000027">
      <w:pPr>
        <w:numPr>
          <w:ilvl w:val="0"/>
          <w:numId w:val="17"/>
        </w:numPr>
        <w:shd w:fill="ffffff" w:val="clear"/>
        <w:spacing w:before="280" w:lineRule="auto"/>
        <w:ind w:left="1440" w:hanging="36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Assessing the CSD's existing community center and parkland for renovation. This will include building and safety standards as well as energy efficiency strategies.</w:t>
      </w:r>
    </w:p>
    <w:p w:rsidR="00000000" w:rsidDel="00000000" w:rsidP="00000000" w:rsidRDefault="00000000" w:rsidRPr="00000000" w14:paraId="00000028">
      <w:pPr>
        <w:numPr>
          <w:ilvl w:val="0"/>
          <w:numId w:val="17"/>
        </w:numPr>
        <w:shd w:fill="ffffff" w:val="clear"/>
        <w:ind w:left="1440" w:hanging="36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Further engagement and feasibility studies on a proposed centralized Civic Hub to improve the delivery of authorized CSD services and other services desired by the community such as a satellite health care center and site for Farmers Market.</w:t>
      </w:r>
    </w:p>
    <w:p w:rsidR="00000000" w:rsidDel="00000000" w:rsidP="00000000" w:rsidRDefault="00000000" w:rsidRPr="00000000" w14:paraId="00000029">
      <w:pPr>
        <w:numPr>
          <w:ilvl w:val="0"/>
          <w:numId w:val="17"/>
        </w:numPr>
        <w:shd w:fill="ffffff" w:val="clear"/>
        <w:spacing w:after="160" w:lineRule="auto"/>
        <w:ind w:left="1440" w:hanging="36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Planning designs for the CSD Community Center include an upgrade to a commercial kitchen facility to be used to grow cottage industry businesses. This will provide a much-needed resource for local businesses and entrepreneurs, and help improve the health and well-being of the community.</w:t>
      </w:r>
    </w:p>
    <w:p w:rsidR="00000000" w:rsidDel="00000000" w:rsidP="00000000" w:rsidRDefault="00000000" w:rsidRPr="00000000" w14:paraId="0000002A">
      <w:pPr>
        <w:shd w:fill="ffffff" w:val="clear"/>
        <w:spacing w:after="360" w:before="360" w:lineRule="auto"/>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Community benefits include:</w:t>
      </w:r>
    </w:p>
    <w:p w:rsidR="00000000" w:rsidDel="00000000" w:rsidP="00000000" w:rsidRDefault="00000000" w:rsidRPr="00000000" w14:paraId="0000002B">
      <w:pPr>
        <w:numPr>
          <w:ilvl w:val="0"/>
          <w:numId w:val="12"/>
        </w:numPr>
        <w:shd w:fill="ffffff" w:val="clear"/>
        <w:spacing w:before="280" w:lineRule="auto"/>
        <w:ind w:left="1440" w:hanging="36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Reduced greenhouse gas emissions. The sustainability measures included in the project will help to reduce the community's carbon footprint.</w:t>
      </w:r>
    </w:p>
    <w:p w:rsidR="00000000" w:rsidDel="00000000" w:rsidP="00000000" w:rsidRDefault="00000000" w:rsidRPr="00000000" w14:paraId="0000002C">
      <w:pPr>
        <w:numPr>
          <w:ilvl w:val="0"/>
          <w:numId w:val="12"/>
        </w:numPr>
        <w:shd w:fill="ffffff" w:val="clear"/>
        <w:ind w:left="1440" w:hanging="36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satellite health care center will provide much-needed healthcare services to residents who live in a rural area.</w:t>
      </w:r>
    </w:p>
    <w:p w:rsidR="00000000" w:rsidDel="00000000" w:rsidP="00000000" w:rsidRDefault="00000000" w:rsidRPr="00000000" w14:paraId="0000002D">
      <w:pPr>
        <w:numPr>
          <w:ilvl w:val="0"/>
          <w:numId w:val="12"/>
        </w:numPr>
        <w:shd w:fill="ffffff" w:val="clear"/>
        <w:ind w:left="1440" w:hanging="36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commercial kitchen facility and marketplace will provide a space for local businesses to grow and thrive.</w:t>
      </w:r>
    </w:p>
    <w:p w:rsidR="00000000" w:rsidDel="00000000" w:rsidP="00000000" w:rsidRDefault="00000000" w:rsidRPr="00000000" w14:paraId="0000002E">
      <w:pPr>
        <w:numPr>
          <w:ilvl w:val="0"/>
          <w:numId w:val="12"/>
        </w:numPr>
        <w:shd w:fill="ffffff" w:val="clear"/>
        <w:spacing w:after="160" w:lineRule="auto"/>
        <w:ind w:left="1440" w:hanging="360"/>
        <w:jc w:val="both"/>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project will improve access to physical activity, green space. healthy food, and social services.</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numPr>
          <w:ilvl w:val="0"/>
          <w:numId w:val="7"/>
        </w:numPr>
        <w:pBdr>
          <w:top w:space="0" w:sz="0" w:val="nil"/>
          <w:left w:space="0" w:sz="0" w:val="nil"/>
          <w:bottom w:space="0" w:sz="0" w:val="nil"/>
          <w:right w:space="0" w:sz="0" w:val="nil"/>
          <w:between w:space="0" w:sz="0" w:val="nil"/>
        </w:pBdr>
        <w:tabs>
          <w:tab w:val="left" w:leader="none" w:pos="1267"/>
        </w:tabs>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how the Planning Area meets the eligibility requirements outlined in the TCC Program Guidelines </w:t>
      </w:r>
      <w:r w:rsidDel="00000000" w:rsidR="00000000" w:rsidRPr="00000000">
        <w:rPr>
          <w:rFonts w:ascii="Arial" w:cs="Arial" w:eastAsia="Arial" w:hAnsi="Arial"/>
          <w:b w:val="1"/>
          <w:color w:val="000000"/>
          <w:sz w:val="22"/>
          <w:szCs w:val="22"/>
          <w:rtl w:val="0"/>
        </w:rPr>
        <w:t xml:space="preserve">(200 words)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1267"/>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2">
      <w:pPr>
        <w:numPr>
          <w:ilvl w:val="1"/>
          <w:numId w:val="7"/>
        </w:numPr>
        <w:pBdr>
          <w:top w:space="0" w:sz="0" w:val="nil"/>
          <w:left w:space="0" w:sz="0" w:val="nil"/>
          <w:bottom w:space="0" w:sz="0" w:val="nil"/>
          <w:right w:space="0" w:sz="0" w:val="nil"/>
          <w:between w:space="0" w:sz="0" w:val="nil"/>
        </w:pBdr>
        <w:tabs>
          <w:tab w:val="left" w:leader="none" w:pos="1267"/>
        </w:tabs>
        <w:ind w:left="108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Total square miles</w:t>
      </w:r>
    </w:p>
    <w:p w:rsidR="00000000" w:rsidDel="00000000" w:rsidP="00000000" w:rsidRDefault="00000000" w:rsidRPr="00000000" w14:paraId="00000033">
      <w:pPr>
        <w:numPr>
          <w:ilvl w:val="1"/>
          <w:numId w:val="7"/>
        </w:numPr>
        <w:pBdr>
          <w:top w:space="0" w:sz="0" w:val="nil"/>
          <w:left w:space="0" w:sz="0" w:val="nil"/>
          <w:bottom w:space="0" w:sz="0" w:val="nil"/>
          <w:right w:space="0" w:sz="0" w:val="nil"/>
          <w:between w:space="0" w:sz="0" w:val="nil"/>
        </w:pBdr>
        <w:tabs>
          <w:tab w:val="left" w:leader="none" w:pos="1267"/>
        </w:tabs>
        <w:ind w:left="108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Percentage of Project Area that falls within eligible priority population areas: the top 25% disadvantaged communities per CalEnviroScreen 4.0 or 3.0</w:t>
      </w:r>
      <w:r w:rsidDel="00000000" w:rsidR="00000000" w:rsidRPr="00000000">
        <w:rPr>
          <w:rFonts w:ascii="Arial" w:cs="Arial" w:eastAsia="Arial" w:hAnsi="Arial"/>
          <w:color w:val="498205"/>
          <w:sz w:val="22"/>
          <w:szCs w:val="22"/>
          <w:u w:val="single"/>
          <w:rtl w:val="0"/>
        </w:rPr>
        <w:t xml:space="preserve">,</w:t>
      </w:r>
      <w:r w:rsidDel="00000000" w:rsidR="00000000" w:rsidRPr="00000000">
        <w:rPr>
          <w:rFonts w:ascii="Arial" w:cs="Arial" w:eastAsia="Arial" w:hAnsi="Arial"/>
          <w:color w:val="498205"/>
          <w:sz w:val="22"/>
          <w:szCs w:val="22"/>
          <w:rtl w:val="0"/>
        </w:rPr>
        <w:t xml:space="preserve"> </w:t>
      </w:r>
      <w:r w:rsidDel="00000000" w:rsidR="00000000" w:rsidRPr="00000000">
        <w:rPr>
          <w:rFonts w:ascii="Arial" w:cs="Arial" w:eastAsia="Arial" w:hAnsi="Arial"/>
          <w:color w:val="000000"/>
          <w:sz w:val="22"/>
          <w:szCs w:val="22"/>
          <w:rtl w:val="0"/>
        </w:rPr>
        <w:t xml:space="preserve">federally recognized tribal communities, or eligible disadvantaged unincorporated communities.</w:t>
      </w:r>
    </w:p>
    <w:p w:rsidR="00000000" w:rsidDel="00000000" w:rsidP="00000000" w:rsidRDefault="00000000" w:rsidRPr="00000000" w14:paraId="00000034">
      <w:pPr>
        <w:numPr>
          <w:ilvl w:val="1"/>
          <w:numId w:val="7"/>
        </w:numPr>
        <w:pBdr>
          <w:top w:space="0" w:sz="0" w:val="nil"/>
          <w:left w:space="0" w:sz="0" w:val="nil"/>
          <w:bottom w:space="0" w:sz="0" w:val="nil"/>
          <w:right w:space="0" w:sz="0" w:val="nil"/>
          <w:between w:space="0" w:sz="0" w:val="nil"/>
        </w:pBdr>
        <w:tabs>
          <w:tab w:val="left" w:leader="none" w:pos="1267"/>
        </w:tabs>
        <w:ind w:left="108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Percentage of the Project Area that falls within low-income communities per AB 1550.</w:t>
      </w:r>
    </w:p>
    <w:p w:rsidR="00000000" w:rsidDel="00000000" w:rsidP="00000000" w:rsidRDefault="00000000" w:rsidRPr="00000000" w14:paraId="00000035">
      <w:pPr>
        <w:numPr>
          <w:ilvl w:val="1"/>
          <w:numId w:val="7"/>
        </w:numPr>
        <w:pBdr>
          <w:top w:space="0" w:sz="0" w:val="nil"/>
          <w:left w:space="0" w:sz="0" w:val="nil"/>
          <w:bottom w:space="0" w:sz="0" w:val="nil"/>
          <w:right w:space="0" w:sz="0" w:val="nil"/>
          <w:between w:space="0" w:sz="0" w:val="nil"/>
        </w:pBdr>
        <w:tabs>
          <w:tab w:val="left" w:leader="none" w:pos="1267"/>
        </w:tabs>
        <w:ind w:left="108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Project Areas with disadvantaged unincorporated communities (DUCs) should describe the eligibility method(s) used per the Guidelines (Verification of DUC status the Local Agency Formation Commission (LAFCo), TCC Mapping Tool, and/or Self-identified DUC with Localized Data). DUC applicants that establish eligibility through LAFCo status or localized data must submit supporting documentation.</w:t>
      </w:r>
      <w:r w:rsidDel="00000000" w:rsidR="00000000" w:rsidRPr="00000000">
        <w:rPr>
          <w:rtl w:val="0"/>
        </w:rPr>
      </w:r>
    </w:p>
    <w:p w:rsidR="00000000" w:rsidDel="00000000" w:rsidP="00000000" w:rsidRDefault="00000000" w:rsidRPr="00000000" w14:paraId="00000036">
      <w:pPr>
        <w:numPr>
          <w:ilvl w:val="0"/>
          <w:numId w:val="21"/>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w:t>
      </w:r>
      <w:r w:rsidDel="00000000" w:rsidR="00000000" w:rsidRPr="00000000">
        <w:rPr>
          <w:rFonts w:ascii="Arial" w:cs="Arial" w:eastAsia="Arial" w:hAnsi="Arial"/>
          <w:color w:val="1f1f1f"/>
          <w:sz w:val="22"/>
          <w:szCs w:val="22"/>
          <w:rtl w:val="0"/>
        </w:rPr>
        <w:t xml:space="preserve">he Planning Area is approximately 117-sq. mi. (300 km2) in size.</w:t>
      </w:r>
    </w:p>
    <w:p w:rsidR="00000000" w:rsidDel="00000000" w:rsidP="00000000" w:rsidRDefault="00000000" w:rsidRPr="00000000" w14:paraId="00000037">
      <w:pPr>
        <w:numPr>
          <w:ilvl w:val="0"/>
          <w:numId w:val="21"/>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Percentage of Project Area that falls within eligible priority population areas: The Planning Area falls entirely within the top 25% disadvantaged communities per CalEnviroScreen 4.0, and it also falls within an eligible disadvantaged unincorporated community (DUC).</w:t>
      </w:r>
    </w:p>
    <w:p w:rsidR="00000000" w:rsidDel="00000000" w:rsidP="00000000" w:rsidRDefault="00000000" w:rsidRPr="00000000" w14:paraId="00000038">
      <w:pPr>
        <w:numPr>
          <w:ilvl w:val="0"/>
          <w:numId w:val="21"/>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Percentage of the Project Area that falls within low-income communities per AB 1550: The Planning Area falls entirely within an AB 1550 low-income community.</w:t>
      </w:r>
    </w:p>
    <w:p w:rsidR="00000000" w:rsidDel="00000000" w:rsidP="00000000" w:rsidRDefault="00000000" w:rsidRPr="00000000" w14:paraId="00000039">
      <w:pPr>
        <w:numPr>
          <w:ilvl w:val="0"/>
          <w:numId w:val="21"/>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Eligibility method(s) used: The eligibility of the Planning Area was determined using the CalEPA SB 535 Disadvantaged Communities and the California Air Resources Board's mapping tools on Disadvantaged and Low-income Communities Investments, as well as the California Healthy Places Index.</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color w:val="1f1f1f"/>
          <w:sz w:val="22"/>
          <w:szCs w:val="22"/>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In addition to meeting the eligibility requirements, the Planning Area also has several other characteristics that make it a good candidate for the TCC Program</w:t>
      </w:r>
      <w:r w:rsidDel="00000000" w:rsidR="00000000" w:rsidRPr="00000000">
        <w:rPr>
          <w:rFonts w:ascii="Arial" w:cs="Arial" w:eastAsia="Arial" w:hAnsi="Arial"/>
          <w:color w:val="1f1f1f"/>
          <w:sz w:val="22"/>
          <w:szCs w:val="22"/>
          <w:rtl w:val="0"/>
        </w:rPr>
        <w:t xml:space="preserve">:</w:t>
      </w:r>
    </w:p>
    <w:p w:rsidR="00000000" w:rsidDel="00000000" w:rsidP="00000000" w:rsidRDefault="00000000" w:rsidRPr="00000000" w14:paraId="0000003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afterAutospacing="0" w:before="360" w:line="240" w:lineRule="auto"/>
        <w:ind w:left="720" w:right="0" w:hanging="360"/>
        <w:jc w:val="left"/>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B</w:t>
      </w:r>
      <w:r w:rsidDel="00000000" w:rsidR="00000000" w:rsidRPr="00000000">
        <w:rPr>
          <w:rFonts w:ascii="Arial" w:cs="Arial" w:eastAsia="Arial" w:hAnsi="Arial"/>
          <w:color w:val="1f1f1f"/>
          <w:sz w:val="22"/>
          <w:szCs w:val="22"/>
          <w:rtl w:val="0"/>
        </w:rPr>
        <w:t xml:space="preserve">asic services for the planning area are 25 miles away in Barstow.  Nearest major city is Los Angeles at 135 miles.</w:t>
      </w:r>
    </w:p>
    <w:p w:rsidR="00000000" w:rsidDel="00000000" w:rsidP="00000000" w:rsidRDefault="00000000" w:rsidRPr="00000000" w14:paraId="0000003C">
      <w:pPr>
        <w:numPr>
          <w:ilvl w:val="0"/>
          <w:numId w:val="23"/>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Planning Area has a high percentage of low-income </w:t>
      </w:r>
      <w:r w:rsidDel="00000000" w:rsidR="00000000" w:rsidRPr="00000000">
        <w:rPr>
          <w:rFonts w:ascii="Arial" w:cs="Arial" w:eastAsia="Arial" w:hAnsi="Arial"/>
          <w:color w:val="1f1f1f"/>
          <w:sz w:val="22"/>
          <w:szCs w:val="22"/>
          <w:rtl w:val="0"/>
        </w:rPr>
        <w:t xml:space="preserve">residents</w:t>
      </w:r>
      <w:r w:rsidDel="00000000" w:rsidR="00000000" w:rsidRPr="00000000">
        <w:rPr>
          <w:rFonts w:ascii="Arial" w:cs="Arial" w:eastAsia="Arial" w:hAnsi="Arial"/>
          <w:color w:val="1f1f1f"/>
          <w:sz w:val="22"/>
          <w:szCs w:val="22"/>
          <w:rtl w:val="0"/>
        </w:rPr>
        <w:t xml:space="preserve"> with a median income of $55,625 and a poverty rate of 19.5%.</w:t>
      </w:r>
    </w:p>
    <w:p w:rsidR="00000000" w:rsidDel="00000000" w:rsidP="00000000" w:rsidRDefault="00000000" w:rsidRPr="00000000" w14:paraId="0000003D">
      <w:pPr>
        <w:numPr>
          <w:ilvl w:val="0"/>
          <w:numId w:val="23"/>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Planning Area is in a region that is highly vulnerable to the effects of climate change.</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267"/>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tabs>
          <w:tab w:val="left" w:leader="none" w:pos="1267"/>
        </w:tabs>
        <w:ind w:left="360" w:hanging="360"/>
        <w:jc w:val="both"/>
        <w:rPr>
          <w:rFonts w:ascii="Arial" w:cs="Arial" w:eastAsia="Arial" w:hAnsi="Arial"/>
          <w:color w:val="000000"/>
          <w:sz w:val="22"/>
          <w:szCs w:val="22"/>
        </w:rPr>
      </w:pPr>
      <w:bookmarkStart w:colFirst="0" w:colLast="0" w:name="_heading=h.30j0zll" w:id="1"/>
      <w:bookmarkEnd w:id="1"/>
      <w:r w:rsidDel="00000000" w:rsidR="00000000" w:rsidRPr="00000000">
        <w:rPr>
          <w:rFonts w:ascii="Arial" w:cs="Arial" w:eastAsia="Arial" w:hAnsi="Arial"/>
          <w:color w:val="000000"/>
          <w:sz w:val="22"/>
          <w:szCs w:val="22"/>
          <w:rtl w:val="0"/>
        </w:rPr>
        <w:t xml:space="preserve">Provide a description of the Planning Area and neighborhoods that will be the focus of the planning activities, including demographic information (e.g., population, race/ethnicity and income) and relevant historical context. </w:t>
      </w:r>
      <w:r w:rsidDel="00000000" w:rsidR="00000000" w:rsidRPr="00000000">
        <w:rPr>
          <w:rFonts w:ascii="Arial" w:cs="Arial" w:eastAsia="Arial" w:hAnsi="Arial"/>
          <w:b w:val="1"/>
          <w:color w:val="000000"/>
          <w:sz w:val="22"/>
          <w:szCs w:val="22"/>
          <w:rtl w:val="0"/>
        </w:rPr>
        <w:t xml:space="preserve">(200 words)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1267"/>
        </w:tabs>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Newberry Springs Community Planning Area is a rural community with a population of 2,214 people. The community is in the Mojave Desert and is surrounded by agricultural land. The median age in the community is 49.7 years old, and 28% of the population is over the age of 65. The median income in the community is $55,625, and the poverty rate is 19.5%.</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Much of the population in the Planning Area is white (96.1%), while the remaining 3.9% of the population identifies as black/African American, Asian, American Indian, native Hawaiian, pacific islander, or other. 305 residents identify as Hispanic or Latino ethnicity.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Newberry Springs Community Planning Area has a rich history. The area was a critical travel corridor for millennia, and the Mojave Indian Trail is the earliest known travel route passing through the area followed by explorer routes, wagon trails, the Old Spanish Trail, railroads, Route 66, and finally Interstate 40.</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Newberry Springs is a gateway community to the Mojave Trails National Monument and home to several historic and Hollywood sights, such as the Bagdad Café and the nearby abandoned water park that was featured in the film “Desert Blue”.</w:t>
      </w:r>
      <w:r w:rsidDel="00000000" w:rsidR="00000000" w:rsidRPr="00000000">
        <w:rPr>
          <w:rtl w:val="0"/>
        </w:rPr>
      </w:r>
    </w:p>
    <w:p w:rsidR="00000000" w:rsidDel="00000000" w:rsidP="00000000" w:rsidRDefault="00000000" w:rsidRPr="00000000" w14:paraId="00000045">
      <w:pPr>
        <w:numPr>
          <w:ilvl w:val="0"/>
          <w:numId w:val="7"/>
        </w:numPr>
        <w:pBdr>
          <w:top w:space="0" w:sz="0" w:val="nil"/>
          <w:left w:space="0" w:sz="0" w:val="nil"/>
          <w:bottom w:space="0" w:sz="0" w:val="nil"/>
          <w:right w:space="0" w:sz="0" w:val="nil"/>
          <w:between w:space="0" w:sz="0" w:val="nil"/>
        </w:pBdr>
        <w:tabs>
          <w:tab w:val="left" w:leader="none" w:pos="1267"/>
        </w:tabs>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the process used to select the Planning Area. </w:t>
      </w:r>
      <w:r w:rsidDel="00000000" w:rsidR="00000000" w:rsidRPr="00000000">
        <w:rPr>
          <w:rFonts w:ascii="Arial" w:cs="Arial" w:eastAsia="Arial" w:hAnsi="Arial"/>
          <w:b w:val="1"/>
          <w:color w:val="000000"/>
          <w:sz w:val="22"/>
          <w:szCs w:val="22"/>
          <w:rtl w:val="0"/>
        </w:rPr>
        <w:t xml:space="preserve">(200 words)</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1267"/>
        </w:tabs>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process used to select the Newberry Springs Community Planning Area as a TCC </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priority</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 area was as follows:</w:t>
      </w:r>
    </w:p>
    <w:p w:rsidR="00000000" w:rsidDel="00000000" w:rsidP="00000000" w:rsidRDefault="00000000" w:rsidRPr="00000000" w14:paraId="00000048">
      <w:pPr>
        <w:numPr>
          <w:ilvl w:val="0"/>
          <w:numId w:val="26"/>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community embarked on a planning process in 2016 to develop a community plan.</w:t>
      </w:r>
    </w:p>
    <w:p w:rsidR="00000000" w:rsidDel="00000000" w:rsidP="00000000" w:rsidRDefault="00000000" w:rsidRPr="00000000" w14:paraId="00000049">
      <w:pPr>
        <w:numPr>
          <w:ilvl w:val="0"/>
          <w:numId w:val="26"/>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Based on the community's desire for a TCC project a standing CSD committee was created and public workshops were held to gather input from residents, businesses, and property owners.</w:t>
      </w:r>
    </w:p>
    <w:p w:rsidR="00000000" w:rsidDel="00000000" w:rsidP="00000000" w:rsidRDefault="00000000" w:rsidRPr="00000000" w14:paraId="0000004A">
      <w:pPr>
        <w:numPr>
          <w:ilvl w:val="0"/>
          <w:numId w:val="26"/>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San Bernardino County General Plan was adopted in 2019, which included a Community Plans Continuum of 35 Community Action Guides (including Newberry Springs).</w:t>
      </w:r>
    </w:p>
    <w:p w:rsidR="00000000" w:rsidDel="00000000" w:rsidP="00000000" w:rsidRDefault="00000000" w:rsidRPr="00000000" w14:paraId="0000004B">
      <w:pPr>
        <w:numPr>
          <w:ilvl w:val="0"/>
          <w:numId w:val="26"/>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Partners applied the following selection criteria to identify the planning area:</w:t>
      </w:r>
    </w:p>
    <w:p w:rsidR="00000000" w:rsidDel="00000000" w:rsidP="00000000" w:rsidRDefault="00000000" w:rsidRPr="00000000" w14:paraId="0000004C">
      <w:pPr>
        <w:numPr>
          <w:ilvl w:val="1"/>
          <w:numId w:val="26"/>
        </w:numPr>
        <w:shd w:fill="ffffff" w:val="clear"/>
        <w:spacing w:after="150" w:before="0" w:lineRule="auto"/>
        <w:ind w:left="144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TCC funds’ potential to make substantive impact.</w:t>
      </w:r>
    </w:p>
    <w:p w:rsidR="00000000" w:rsidDel="00000000" w:rsidP="00000000" w:rsidRDefault="00000000" w:rsidRPr="00000000" w14:paraId="0000004D">
      <w:pPr>
        <w:numPr>
          <w:ilvl w:val="1"/>
          <w:numId w:val="26"/>
        </w:numPr>
        <w:shd w:fill="ffffff" w:val="clear"/>
        <w:spacing w:after="150" w:before="0" w:lineRule="auto"/>
        <w:ind w:left="144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Ability to address opportunities and challenges identified through previous workshops.</w:t>
      </w:r>
    </w:p>
    <w:p w:rsidR="00000000" w:rsidDel="00000000" w:rsidP="00000000" w:rsidRDefault="00000000" w:rsidRPr="00000000" w14:paraId="0000004E">
      <w:pPr>
        <w:numPr>
          <w:ilvl w:val="1"/>
          <w:numId w:val="26"/>
        </w:numPr>
        <w:shd w:fill="ffffff" w:val="clear"/>
        <w:spacing w:after="150" w:before="0" w:lineRule="auto"/>
        <w:ind w:left="144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Planned public projects likely to lead to implementation.</w:t>
      </w:r>
    </w:p>
    <w:p w:rsidR="00000000" w:rsidDel="00000000" w:rsidP="00000000" w:rsidRDefault="00000000" w:rsidRPr="00000000" w14:paraId="0000004F">
      <w:pPr>
        <w:numPr>
          <w:ilvl w:val="1"/>
          <w:numId w:val="26"/>
        </w:numPr>
        <w:shd w:fill="ffffff" w:val="clear"/>
        <w:spacing w:after="150" w:before="0" w:lineRule="auto"/>
        <w:ind w:left="144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Alignment between existing community values, plans, strategies, and priorities with local, State, and TCC goals.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selection process was collaborative and included input from a variety of stakeholders, including the community, local government, and county. The goal of the process was to identify a planning area that would be a good fit for the TCC program and that would have the potential to make a significant impact on the community.</w:t>
      </w:r>
    </w:p>
    <w:p w:rsidR="00000000" w:rsidDel="00000000" w:rsidP="00000000" w:rsidRDefault="00000000" w:rsidRPr="00000000" w14:paraId="00000051">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the public health, environmental, and economic challenges and opportunities faced by residents and key stakeholders of the Planning Area. </w:t>
      </w:r>
      <w:r w:rsidDel="00000000" w:rsidR="00000000" w:rsidRPr="00000000">
        <w:rPr>
          <w:rFonts w:ascii="Arial" w:cs="Arial" w:eastAsia="Arial" w:hAnsi="Arial"/>
          <w:b w:val="1"/>
          <w:color w:val="000000"/>
          <w:sz w:val="22"/>
          <w:szCs w:val="22"/>
          <w:rtl w:val="0"/>
        </w:rPr>
        <w:t xml:space="preserve">(200 words)</w:t>
      </w: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b w:val="1"/>
          <w:i w:val="0"/>
          <w:smallCaps w:val="0"/>
          <w:strike w:val="0"/>
          <w:color w:val="1f1f1f"/>
          <w:sz w:val="22"/>
          <w:szCs w:val="22"/>
          <w:u w:val="none"/>
          <w:shd w:fill="auto" w:val="clear"/>
          <w:vertAlign w:val="baseline"/>
        </w:rPr>
      </w:pPr>
      <w:r w:rsidDel="00000000" w:rsidR="00000000" w:rsidRPr="00000000">
        <w:rPr>
          <w:rFonts w:ascii="Arial" w:cs="Arial" w:eastAsia="Arial" w:hAnsi="Arial"/>
          <w:b w:val="1"/>
          <w:i w:val="0"/>
          <w:smallCaps w:val="0"/>
          <w:strike w:val="0"/>
          <w:color w:val="1f1f1f"/>
          <w:sz w:val="22"/>
          <w:szCs w:val="22"/>
          <w:u w:val="none"/>
          <w:shd w:fill="auto" w:val="clear"/>
          <w:vertAlign w:val="baseline"/>
          <w:rtl w:val="0"/>
        </w:rPr>
        <w:t xml:space="preserve">Challenges</w:t>
      </w:r>
      <w:r w:rsidDel="00000000" w:rsidR="00000000" w:rsidRPr="00000000">
        <w:rPr>
          <w:rFonts w:ascii="Arial" w:cs="Arial" w:eastAsia="Arial" w:hAnsi="Arial"/>
          <w:b w:val="1"/>
          <w:i w:val="0"/>
          <w:smallCaps w:val="0"/>
          <w:strike w:val="0"/>
          <w:color w:val="1f1f1f"/>
          <w:sz w:val="22"/>
          <w:szCs w:val="22"/>
          <w:u w:val="none"/>
          <w:shd w:fill="auto" w:val="clear"/>
          <w:vertAlign w:val="baseline"/>
          <w:rtl w:val="0"/>
        </w:rPr>
        <w:t xml:space="preserve">:</w:t>
      </w:r>
    </w:p>
    <w:p w:rsidR="00000000" w:rsidDel="00000000" w:rsidP="00000000" w:rsidRDefault="00000000" w:rsidRPr="00000000" w14:paraId="00000054">
      <w:pPr>
        <w:numPr>
          <w:ilvl w:val="0"/>
          <w:numId w:val="27"/>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Located in a region with poor air quality, due to factors such as fugitive dust from large scale solar plants. The census tract is in the top 25% for pollution burden and is in the 77% for Ozone.  The asthma percentile is 55% higher than other census tracts in California.</w:t>
      </w:r>
    </w:p>
    <w:p w:rsidR="00000000" w:rsidDel="00000000" w:rsidP="00000000" w:rsidRDefault="00000000" w:rsidRPr="00000000" w14:paraId="00000055">
      <w:pPr>
        <w:numPr>
          <w:ilvl w:val="0"/>
          <w:numId w:val="27"/>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High poverty rate and a lack of job opportunities make it difficult for residents to meet their basic needs. </w:t>
      </w:r>
      <w:r w:rsidDel="00000000" w:rsidR="00000000" w:rsidRPr="00000000">
        <w:rPr>
          <w:rFonts w:ascii="Arial" w:cs="Arial" w:eastAsia="Arial" w:hAnsi="Arial"/>
          <w:color w:val="323232"/>
          <w:sz w:val="22"/>
          <w:szCs w:val="22"/>
          <w:highlight w:val="white"/>
          <w:rtl w:val="0"/>
        </w:rPr>
        <w:t xml:space="preserve">The percent of people living below twice the poverty level is higher than</w:t>
      </w:r>
      <w:r w:rsidDel="00000000" w:rsidR="00000000" w:rsidRPr="00000000">
        <w:rPr>
          <w:rFonts w:ascii="Arial" w:cs="Arial" w:eastAsia="Arial" w:hAnsi="Arial"/>
          <w:b w:val="1"/>
          <w:color w:val="323232"/>
          <w:sz w:val="22"/>
          <w:szCs w:val="22"/>
          <w:highlight w:val="white"/>
          <w:rtl w:val="0"/>
        </w:rPr>
        <w:t xml:space="preserve"> 76%</w:t>
      </w:r>
      <w:r w:rsidDel="00000000" w:rsidR="00000000" w:rsidRPr="00000000">
        <w:rPr>
          <w:rFonts w:ascii="Arial" w:cs="Arial" w:eastAsia="Arial" w:hAnsi="Arial"/>
          <w:color w:val="323232"/>
          <w:sz w:val="22"/>
          <w:szCs w:val="22"/>
          <w:highlight w:val="white"/>
          <w:rtl w:val="0"/>
        </w:rPr>
        <w:t xml:space="preserve"> of the census tracts in California and the percent of unemployed people is higher than </w:t>
      </w:r>
      <w:r w:rsidDel="00000000" w:rsidR="00000000" w:rsidRPr="00000000">
        <w:rPr>
          <w:rFonts w:ascii="Arial" w:cs="Arial" w:eastAsia="Arial" w:hAnsi="Arial"/>
          <w:b w:val="1"/>
          <w:color w:val="323232"/>
          <w:sz w:val="22"/>
          <w:szCs w:val="22"/>
          <w:highlight w:val="white"/>
          <w:rtl w:val="0"/>
        </w:rPr>
        <w:t xml:space="preserve">95%.</w:t>
      </w:r>
      <w:r w:rsidDel="00000000" w:rsidR="00000000" w:rsidRPr="00000000">
        <w:rPr>
          <w:rtl w:val="0"/>
        </w:rPr>
      </w:r>
    </w:p>
    <w:p w:rsidR="00000000" w:rsidDel="00000000" w:rsidP="00000000" w:rsidRDefault="00000000" w:rsidRPr="00000000" w14:paraId="00000056">
      <w:pPr>
        <w:numPr>
          <w:ilvl w:val="0"/>
          <w:numId w:val="27"/>
        </w:numPr>
        <w:shd w:fill="ffffff" w:val="clear"/>
        <w:spacing w:after="200" w:before="0" w:lineRule="auto"/>
        <w:ind w:left="720" w:hanging="360"/>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Living in a neighborhood where health care and healthy food are not available, can increase the chance of low birth weight.  The percent of </w:t>
      </w:r>
      <w:r w:rsidDel="00000000" w:rsidR="00000000" w:rsidRPr="00000000">
        <w:rPr>
          <w:rFonts w:ascii="Arial" w:cs="Arial" w:eastAsia="Arial" w:hAnsi="Arial"/>
          <w:color w:val="323232"/>
          <w:sz w:val="22"/>
          <w:szCs w:val="22"/>
          <w:highlight w:val="white"/>
          <w:rtl w:val="0"/>
        </w:rPr>
        <w:t xml:space="preserve"> low birth weight in this census tract is higher than </w:t>
      </w:r>
      <w:r w:rsidDel="00000000" w:rsidR="00000000" w:rsidRPr="00000000">
        <w:rPr>
          <w:rFonts w:ascii="Arial" w:cs="Arial" w:eastAsia="Arial" w:hAnsi="Arial"/>
          <w:b w:val="1"/>
          <w:color w:val="323232"/>
          <w:sz w:val="22"/>
          <w:szCs w:val="22"/>
          <w:highlight w:val="white"/>
          <w:rtl w:val="0"/>
        </w:rPr>
        <w:t xml:space="preserve">99%</w:t>
      </w:r>
      <w:r w:rsidDel="00000000" w:rsidR="00000000" w:rsidRPr="00000000">
        <w:rPr>
          <w:rFonts w:ascii="Arial" w:cs="Arial" w:eastAsia="Arial" w:hAnsi="Arial"/>
          <w:color w:val="323232"/>
          <w:sz w:val="22"/>
          <w:szCs w:val="22"/>
          <w:highlight w:val="white"/>
          <w:rtl w:val="0"/>
        </w:rPr>
        <w:t xml:space="preserve"> of the census tracts in California.</w:t>
      </w:r>
    </w:p>
    <w:p w:rsidR="00000000" w:rsidDel="00000000" w:rsidP="00000000" w:rsidRDefault="00000000" w:rsidRPr="00000000" w14:paraId="00000057">
      <w:pPr>
        <w:numPr>
          <w:ilvl w:val="0"/>
          <w:numId w:val="27"/>
        </w:numPr>
        <w:shd w:fill="ffffff" w:val="clear"/>
        <w:spacing w:after="20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Lacks recreation facilities and green space making it difficult for residents to be physically active. </w:t>
      </w:r>
      <w:r w:rsidDel="00000000" w:rsidR="00000000" w:rsidRPr="00000000">
        <w:rPr>
          <w:rFonts w:ascii="Arial" w:cs="Arial" w:eastAsia="Arial" w:hAnsi="Arial"/>
          <w:color w:val="323232"/>
          <w:sz w:val="22"/>
          <w:szCs w:val="22"/>
          <w:highlight w:val="white"/>
          <w:rtl w:val="0"/>
        </w:rPr>
        <w:t xml:space="preserve">The Cardiovascular Disease percentile for this census tract is </w:t>
      </w:r>
      <w:r w:rsidDel="00000000" w:rsidR="00000000" w:rsidRPr="00000000">
        <w:rPr>
          <w:rFonts w:ascii="Arial" w:cs="Arial" w:eastAsia="Arial" w:hAnsi="Arial"/>
          <w:b w:val="1"/>
          <w:color w:val="323232"/>
          <w:sz w:val="22"/>
          <w:szCs w:val="22"/>
          <w:highlight w:val="white"/>
          <w:rtl w:val="0"/>
        </w:rPr>
        <w:t xml:space="preserve">73.93.</w:t>
      </w:r>
      <w:r w:rsidDel="00000000" w:rsidR="00000000" w:rsidRPr="00000000">
        <w:rPr>
          <w:rFonts w:ascii="Arial" w:cs="Arial" w:eastAsia="Arial" w:hAnsi="Arial"/>
          <w:color w:val="323232"/>
          <w:sz w:val="22"/>
          <w:szCs w:val="22"/>
          <w:highlight w:val="white"/>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b w:val="1"/>
          <w:i w:val="0"/>
          <w:smallCaps w:val="0"/>
          <w:strike w:val="0"/>
          <w:color w:val="1f1f1f"/>
          <w:sz w:val="22"/>
          <w:szCs w:val="22"/>
          <w:u w:val="none"/>
          <w:shd w:fill="auto" w:val="clear"/>
          <w:vertAlign w:val="baseline"/>
        </w:rPr>
      </w:pPr>
      <w:r w:rsidDel="00000000" w:rsidR="00000000" w:rsidRPr="00000000">
        <w:rPr>
          <w:rFonts w:ascii="Arial" w:cs="Arial" w:eastAsia="Arial" w:hAnsi="Arial"/>
          <w:b w:val="1"/>
          <w:i w:val="0"/>
          <w:smallCaps w:val="0"/>
          <w:strike w:val="0"/>
          <w:color w:val="1f1f1f"/>
          <w:sz w:val="22"/>
          <w:szCs w:val="22"/>
          <w:u w:val="none"/>
          <w:shd w:fill="auto" w:val="clear"/>
          <w:vertAlign w:val="baseline"/>
          <w:rtl w:val="0"/>
        </w:rPr>
        <w:t xml:space="preserve">Opportunities:</w:t>
      </w:r>
    </w:p>
    <w:p w:rsidR="00000000" w:rsidDel="00000000" w:rsidP="00000000" w:rsidRDefault="00000000" w:rsidRPr="00000000" w14:paraId="00000059">
      <w:pPr>
        <w:numPr>
          <w:ilvl w:val="0"/>
          <w:numId w:val="13"/>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community is located near a major freeway and is on Route 66, which can be used to attract tourists and businesses.</w:t>
      </w:r>
    </w:p>
    <w:p w:rsidR="00000000" w:rsidDel="00000000" w:rsidP="00000000" w:rsidRDefault="00000000" w:rsidRPr="00000000" w14:paraId="0000005A">
      <w:pPr>
        <w:numPr>
          <w:ilvl w:val="0"/>
          <w:numId w:val="13"/>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community has a strong entrepreneurial spirit. </w:t>
      </w:r>
    </w:p>
    <w:p w:rsidR="00000000" w:rsidDel="00000000" w:rsidP="00000000" w:rsidRDefault="00000000" w:rsidRPr="00000000" w14:paraId="0000005B">
      <w:pPr>
        <w:shd w:fill="ffffff" w:val="clear"/>
        <w:spacing w:after="150" w:before="0" w:lineRule="auto"/>
        <w:ind w:left="0" w:firstLine="0"/>
        <w:rPr>
          <w:rFonts w:ascii="Arial" w:cs="Arial" w:eastAsia="Arial" w:hAnsi="Arial"/>
          <w:b w:val="1"/>
          <w:color w:val="1f4e79"/>
          <w:sz w:val="22"/>
          <w:szCs w:val="22"/>
        </w:rPr>
      </w:pPr>
      <w:r w:rsidDel="00000000" w:rsidR="00000000" w:rsidRPr="00000000">
        <w:rPr>
          <w:rFonts w:ascii="Arial" w:cs="Arial" w:eastAsia="Arial" w:hAnsi="Arial"/>
          <w:b w:val="1"/>
          <w:color w:val="1f4e79"/>
          <w:sz w:val="22"/>
          <w:szCs w:val="22"/>
          <w:rtl w:val="0"/>
        </w:rPr>
        <w:t xml:space="preserve">Proposed Planning Activities</w:t>
      </w:r>
    </w:p>
    <w:p w:rsidR="00000000" w:rsidDel="00000000" w:rsidP="00000000" w:rsidRDefault="00000000" w:rsidRPr="00000000" w14:paraId="0000005C">
      <w:pPr>
        <w:pStyle w:val="Heading3"/>
        <w:numPr>
          <w:ilvl w:val="0"/>
          <w:numId w:val="7"/>
        </w:numPr>
        <w:ind w:left="360" w:hanging="360"/>
        <w:rPr>
          <w:b w:val="1"/>
          <w:color w:val="000000"/>
        </w:rPr>
      </w:pPr>
      <w:r w:rsidDel="00000000" w:rsidR="00000000" w:rsidRPr="00000000">
        <w:rPr>
          <w:color w:val="000000"/>
          <w:rtl w:val="0"/>
        </w:rPr>
        <w:t xml:space="preserve">Summarize the proposed planning activities and how the proposed planning activities will improve outcomes for priority populations within the Planning Area.</w:t>
      </w:r>
      <w:r w:rsidDel="00000000" w:rsidR="00000000" w:rsidRPr="00000000">
        <w:rPr>
          <w:b w:val="1"/>
          <w:color w:val="000000"/>
          <w:rtl w:val="0"/>
        </w:rPr>
        <w:t xml:space="preserve"> (200 words)</w:t>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numPr>
          <w:ilvl w:val="0"/>
          <w:numId w:val="14"/>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Assessment and u</w:t>
      </w:r>
      <w:r w:rsidDel="00000000" w:rsidR="00000000" w:rsidRPr="00000000">
        <w:rPr>
          <w:rFonts w:ascii="Arial" w:cs="Arial" w:eastAsia="Arial" w:hAnsi="Arial"/>
          <w:color w:val="1f1f1f"/>
          <w:sz w:val="22"/>
          <w:szCs w:val="22"/>
          <w:rtl w:val="0"/>
        </w:rPr>
        <w:t xml:space="preserve">pgrades to the CSD’s existing community center will improve the facility and make it more accessible to the community. The upgrade will also include energy efficient sustainable design features, which will help to reduce the environmental impact of the facility.  The upgrades to the existing kitchen will provide a space for cottage industry businesses to grow and thrive. The kitchen will also be used to provide a senior meal program for the elderly and improved commodity distribution services for the low-income.</w:t>
      </w:r>
    </w:p>
    <w:p w:rsidR="00000000" w:rsidDel="00000000" w:rsidP="00000000" w:rsidRDefault="00000000" w:rsidRPr="00000000" w14:paraId="0000005F">
      <w:pPr>
        <w:numPr>
          <w:ilvl w:val="0"/>
          <w:numId w:val="14"/>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Plan for park renovation:</w:t>
      </w:r>
      <w:r w:rsidDel="00000000" w:rsidR="00000000" w:rsidRPr="00000000">
        <w:rPr>
          <w:rFonts w:ascii="Arial" w:cs="Arial" w:eastAsia="Arial" w:hAnsi="Arial"/>
          <w:color w:val="1f1f1f"/>
          <w:sz w:val="22"/>
          <w:szCs w:val="22"/>
          <w:rtl w:val="0"/>
        </w:rPr>
        <w:t xml:space="preserve"> This</w:t>
      </w:r>
      <w:r w:rsidDel="00000000" w:rsidR="00000000" w:rsidRPr="00000000">
        <w:rPr>
          <w:rFonts w:ascii="Arial" w:cs="Arial" w:eastAsia="Arial" w:hAnsi="Arial"/>
          <w:color w:val="1f1f1f"/>
          <w:sz w:val="22"/>
          <w:szCs w:val="22"/>
          <w:rtl w:val="0"/>
        </w:rPr>
        <w:t xml:space="preserve"> will improve air quality and water retention in the area and  make the park more accessible to the community. The renovation will also include features that promote physical activity, reduce chronic diseases, improve mental health, and foster community connections.</w:t>
      </w:r>
    </w:p>
    <w:p w:rsidR="00000000" w:rsidDel="00000000" w:rsidP="00000000" w:rsidRDefault="00000000" w:rsidRPr="00000000" w14:paraId="00000060">
      <w:pPr>
        <w:numPr>
          <w:ilvl w:val="0"/>
          <w:numId w:val="14"/>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Plan for community engagement and feasibility of a centralized Civic Hub: This will improve the delivery of authorized CSD services with possibilities for health services, emergency disaster preparation, and a marketplace allowing for healthy food options. The Civic Hub could also provide a space for job training and other workforce development services.</w:t>
      </w:r>
    </w:p>
    <w:p w:rsidR="00000000" w:rsidDel="00000000" w:rsidP="00000000" w:rsidRDefault="00000000" w:rsidRPr="00000000" w14:paraId="00000061">
      <w:pPr>
        <w:numPr>
          <w:ilvl w:val="0"/>
          <w:numId w:val="14"/>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Electric Transit Service: This will provide daily service for transit dependents and support transport to recreational community events.</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3">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how the proposed planning activities are consistent with the following State Planning Priorities</w:t>
      </w:r>
      <w:r w:rsidDel="00000000" w:rsidR="00000000" w:rsidRPr="00000000">
        <w:rPr>
          <w:rFonts w:ascii="Arial" w:cs="Arial" w:eastAsia="Arial" w:hAnsi="Arial"/>
          <w:color w:val="000000"/>
          <w:sz w:val="22"/>
          <w:szCs w:val="22"/>
          <w:vertAlign w:val="superscript"/>
        </w:rPr>
        <w:footnoteReference w:customMarkFollows="0" w:id="0"/>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(200 words)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numPr>
          <w:ilvl w:val="1"/>
          <w:numId w:val="7"/>
        </w:numPr>
        <w:pBdr>
          <w:top w:space="0" w:sz="0" w:val="nil"/>
          <w:left w:space="0" w:sz="0" w:val="nil"/>
          <w:bottom w:space="0" w:sz="0" w:val="nil"/>
          <w:right w:space="0" w:sz="0" w:val="nil"/>
          <w:between w:space="0" w:sz="0" w:val="nil"/>
        </w:pBdr>
        <w:ind w:left="1080" w:hanging="360"/>
        <w:rPr>
          <w:rFonts w:ascii="Arial" w:cs="Arial" w:eastAsia="Arial" w:hAnsi="Arial"/>
          <w:color w:val="000000"/>
          <w:sz w:val="22"/>
          <w:szCs w:val="22"/>
        </w:rPr>
      </w:pPr>
      <w:bookmarkStart w:colFirst="0" w:colLast="0" w:name="_heading=h.1fob9te" w:id="2"/>
      <w:bookmarkEnd w:id="2"/>
      <w:r w:rsidDel="00000000" w:rsidR="00000000" w:rsidRPr="00000000">
        <w:rPr>
          <w:rFonts w:ascii="Arial" w:cs="Arial" w:eastAsia="Arial" w:hAnsi="Arial"/>
          <w:color w:val="000000"/>
          <w:sz w:val="22"/>
          <w:szCs w:val="22"/>
          <w:rtl w:val="0"/>
        </w:rPr>
        <w:t xml:space="preserve">Promote infill development and equity by rehabilitating, maintaining, and improving existing infrastructure;</w:t>
      </w:r>
    </w:p>
    <w:p w:rsidR="00000000" w:rsidDel="00000000" w:rsidP="00000000" w:rsidRDefault="00000000" w:rsidRPr="00000000" w14:paraId="00000066">
      <w:pPr>
        <w:numPr>
          <w:ilvl w:val="1"/>
          <w:numId w:val="7"/>
        </w:numPr>
        <w:pBdr>
          <w:top w:space="0" w:sz="0" w:val="nil"/>
          <w:left w:space="0" w:sz="0" w:val="nil"/>
          <w:bottom w:space="0" w:sz="0" w:val="nil"/>
          <w:right w:space="0" w:sz="0" w:val="nil"/>
          <w:between w:space="0" w:sz="0" w:val="nil"/>
        </w:pBdr>
        <w:ind w:left="108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Protect, preserve and enhance environmental and agricultural lands and natural and recreational resources; and</w:t>
      </w:r>
    </w:p>
    <w:p w:rsidR="00000000" w:rsidDel="00000000" w:rsidP="00000000" w:rsidRDefault="00000000" w:rsidRPr="00000000" w14:paraId="00000067">
      <w:pPr>
        <w:numPr>
          <w:ilvl w:val="1"/>
          <w:numId w:val="7"/>
        </w:numPr>
        <w:pBdr>
          <w:top w:space="0" w:sz="0" w:val="nil"/>
          <w:left w:space="0" w:sz="0" w:val="nil"/>
          <w:bottom w:space="0" w:sz="0" w:val="nil"/>
          <w:right w:space="0" w:sz="0" w:val="nil"/>
          <w:between w:space="0" w:sz="0" w:val="nil"/>
        </w:pBdr>
        <w:ind w:left="108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Encourage location and resource efficient new development.</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The project will advance infill priorities identified by adaptive reuse of the historic community center built in 1958 by local community members and through new mixed-use construction of the proposed civic hub.  The overall improvements create the foundation of increased vitality in the community to preserve and provide backbone services and infrastructure. Transit supports walkable communities and infill development.</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Activities include upgrading the CSD parkland to meet community needs for mobility, exercise, and recreation. This can include urban greening and low impact development strategies as well as interpretive pathways that promote the surrounding public lands including the Newberry &amp; Rodman Mountain Wilderness Mountains and the nearby Mojave Trails National Monument.  </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The </w:t>
      </w:r>
      <w:r w:rsidDel="00000000" w:rsidR="00000000" w:rsidRPr="00000000">
        <w:rPr>
          <w:rFonts w:ascii="Arial" w:cs="Arial" w:eastAsia="Arial" w:hAnsi="Arial"/>
          <w:sz w:val="22"/>
          <w:szCs w:val="22"/>
          <w:rtl w:val="0"/>
        </w:rPr>
        <w:t xml:space="preserve">CSD Civic Hub Strategic Plan</w:t>
      </w:r>
      <w:r w:rsidDel="00000000" w:rsidR="00000000" w:rsidRPr="00000000">
        <w:rPr>
          <w:rFonts w:ascii="Arial" w:cs="Arial" w:eastAsia="Arial" w:hAnsi="Arial"/>
          <w:color w:val="000000"/>
          <w:sz w:val="22"/>
          <w:szCs w:val="22"/>
          <w:rtl w:val="0"/>
        </w:rPr>
        <w:t xml:space="preserve"> indicates a need for a mixed-use “Civic Hub” that aligns civic, commercial, and residential needs. Whereas the current CSD building is located on the far south of the community, the new CSD building will be more centrally located in proximity to the target market and near the existing Family Center and Newberry Elementary School.  Electric charging stations are proposed at the community center &amp; civic hub </w:t>
      </w:r>
      <w:r w:rsidDel="00000000" w:rsidR="00000000" w:rsidRPr="00000000">
        <w:rPr>
          <w:rFonts w:ascii="Arial" w:cs="Arial" w:eastAsia="Arial" w:hAnsi="Arial"/>
          <w:sz w:val="22"/>
          <w:szCs w:val="22"/>
          <w:rtl w:val="0"/>
        </w:rPr>
        <w:t xml:space="preserve">with both</w:t>
      </w:r>
      <w:r w:rsidDel="00000000" w:rsidR="00000000" w:rsidRPr="00000000">
        <w:rPr>
          <w:rFonts w:ascii="Arial" w:cs="Arial" w:eastAsia="Arial" w:hAnsi="Arial"/>
          <w:color w:val="000000"/>
          <w:sz w:val="22"/>
          <w:szCs w:val="22"/>
          <w:rtl w:val="0"/>
        </w:rPr>
        <w:t xml:space="preserve"> designed for environmental sustainability </w:t>
      </w:r>
      <w:r w:rsidDel="00000000" w:rsidR="00000000" w:rsidRPr="00000000">
        <w:rPr>
          <w:rFonts w:ascii="Arial" w:cs="Arial" w:eastAsia="Arial" w:hAnsi="Arial"/>
          <w:sz w:val="22"/>
          <w:szCs w:val="22"/>
          <w:rtl w:val="0"/>
        </w:rPr>
        <w:t xml:space="preserve">incorporating</w:t>
      </w:r>
      <w:r w:rsidDel="00000000" w:rsidR="00000000" w:rsidRPr="00000000">
        <w:rPr>
          <w:rFonts w:ascii="Arial" w:cs="Arial" w:eastAsia="Arial" w:hAnsi="Arial"/>
          <w:color w:val="000000"/>
          <w:sz w:val="22"/>
          <w:szCs w:val="22"/>
          <w:rtl w:val="0"/>
        </w:rPr>
        <w:t xml:space="preserve"> community greenspaces.</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F">
      <w:pPr>
        <w:numPr>
          <w:ilvl w:val="0"/>
          <w:numId w:val="7"/>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how the planning proposal addresses health and racial equity in the impacted community. Responses can include health disparity data or other outcomes demonstrating disparate impact on communities, i.e., asthma rates based on community proximity to freeways. </w:t>
      </w:r>
      <w:r w:rsidDel="00000000" w:rsidR="00000000" w:rsidRPr="00000000">
        <w:rPr>
          <w:rFonts w:ascii="Arial" w:cs="Arial" w:eastAsia="Arial" w:hAnsi="Arial"/>
          <w:b w:val="1"/>
          <w:color w:val="000000"/>
          <w:sz w:val="22"/>
          <w:szCs w:val="22"/>
          <w:rtl w:val="0"/>
        </w:rPr>
        <w:t xml:space="preserve">(200 words)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36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planning proposal addresses health and racial equity in the impacted community by:</w:t>
      </w:r>
    </w:p>
    <w:p w:rsidR="00000000" w:rsidDel="00000000" w:rsidP="00000000" w:rsidRDefault="00000000" w:rsidRPr="00000000" w14:paraId="00000072">
      <w:pPr>
        <w:numPr>
          <w:ilvl w:val="0"/>
          <w:numId w:val="19"/>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Planning park renovation and recreation services based on the known physical activity health benefits they provide.</w:t>
      </w:r>
    </w:p>
    <w:p w:rsidR="00000000" w:rsidDel="00000000" w:rsidP="00000000" w:rsidRDefault="00000000" w:rsidRPr="00000000" w14:paraId="00000073">
      <w:pPr>
        <w:numPr>
          <w:ilvl w:val="0"/>
          <w:numId w:val="19"/>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Making the community center and parkland a safe destination for all residents, regardless of race, age, or sexual orientation.</w:t>
      </w:r>
    </w:p>
    <w:p w:rsidR="00000000" w:rsidDel="00000000" w:rsidP="00000000" w:rsidRDefault="00000000" w:rsidRPr="00000000" w14:paraId="00000074">
      <w:pPr>
        <w:numPr>
          <w:ilvl w:val="0"/>
          <w:numId w:val="19"/>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Purchasing an electric van to provide transportation for park &amp; recreation programs.</w:t>
      </w:r>
    </w:p>
    <w:p w:rsidR="00000000" w:rsidDel="00000000" w:rsidP="00000000" w:rsidRDefault="00000000" w:rsidRPr="00000000" w14:paraId="00000075">
      <w:pPr>
        <w:numPr>
          <w:ilvl w:val="0"/>
          <w:numId w:val="19"/>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Partnering with San Bernardino County to utilize the proposed Civic Hub for scheduled health clinics.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These initiatives will help to improve the health of all residents, especially those who are disproportionately affected by health disparities. For example, the lack of access to healthy foods and public transit can contribute to rates of obesity and chronic disease, which are more common in low-income communities. By making park and recreation resources more accessible, the planning proposal will help to reduce these health disparities.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planning proposal also emphasizes the importance of diversity and inclusion. By creating a community center and parkland that is welcoming to all, the CSD is taking a step towards greater equity. This is important because when all residents have access to facilities that make life better, regardless of their socio-economic status, communities take a step towards greater health equity.</w:t>
      </w:r>
      <w:r w:rsidDel="00000000" w:rsidR="00000000" w:rsidRPr="00000000">
        <w:rPr>
          <w:rtl w:val="0"/>
        </w:rPr>
      </w:r>
    </w:p>
    <w:p w:rsidR="00000000" w:rsidDel="00000000" w:rsidP="00000000" w:rsidRDefault="00000000" w:rsidRPr="00000000" w14:paraId="00000078">
      <w:pPr>
        <w:numPr>
          <w:ilvl w:val="0"/>
          <w:numId w:val="7"/>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how the proposed planning activities will be consistent with a regional plan, such as a Sustainable Communities Strategy, as well as local planning documents (e.g., General Plan, Specific Plan, Community Plan area, zoning code update, a Regional Transportation Plan, or Climate Action Plan). In the description, reference relevant sections and provide links to the plans. If the Planning Area is unincorporated, discuss how the TCC Proposal is consistent with local growth and conservation planning elements and will not result in unmanaged greenfield or leapfrog development. In addition, please submit Letters of Commitment from Local Planning, Water Departments, or equivalents. </w:t>
      </w:r>
      <w:r w:rsidDel="00000000" w:rsidR="00000000" w:rsidRPr="00000000">
        <w:rPr>
          <w:rFonts w:ascii="Arial" w:cs="Arial" w:eastAsia="Arial" w:hAnsi="Arial"/>
          <w:b w:val="1"/>
          <w:color w:val="000000"/>
          <w:sz w:val="22"/>
          <w:szCs w:val="22"/>
          <w:rtl w:val="0"/>
        </w:rPr>
        <w:t xml:space="preserve">(200 words)</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36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360" w:firstLine="0"/>
        <w:jc w:val="both"/>
        <w:rPr>
          <w:rFonts w:ascii="Arial" w:cs="Arial" w:eastAsia="Arial" w:hAnsi="Arial"/>
          <w:b w:val="1"/>
          <w:color w:val="000000"/>
          <w:sz w:val="22"/>
          <w:szCs w:val="22"/>
        </w:rPr>
      </w:pPr>
      <w:hyperlink r:id="rId8">
        <w:r w:rsidDel="00000000" w:rsidR="00000000" w:rsidRPr="00000000">
          <w:rPr>
            <w:rFonts w:ascii="Arial" w:cs="Arial" w:eastAsia="Arial" w:hAnsi="Arial"/>
            <w:b w:val="1"/>
            <w:color w:val="0563c1"/>
            <w:sz w:val="22"/>
            <w:szCs w:val="22"/>
            <w:u w:val="single"/>
            <w:rtl w:val="0"/>
          </w:rPr>
          <w:t xml:space="preserve">Policy Plan – San Bernardino County (countywideplan.com)</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36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360" w:firstLine="0"/>
        <w:jc w:val="both"/>
        <w:rPr>
          <w:rFonts w:ascii="Arial" w:cs="Arial" w:eastAsia="Arial" w:hAnsi="Arial"/>
          <w:b w:val="1"/>
          <w:color w:val="0563c1"/>
          <w:sz w:val="22"/>
          <w:szCs w:val="22"/>
          <w:u w:val="single"/>
        </w:rPr>
      </w:pPr>
      <w:hyperlink r:id="rId9">
        <w:r w:rsidDel="00000000" w:rsidR="00000000" w:rsidRPr="00000000">
          <w:rPr>
            <w:rFonts w:ascii="Arial" w:cs="Arial" w:eastAsia="Arial" w:hAnsi="Arial"/>
            <w:b w:val="1"/>
            <w:color w:val="0563c1"/>
            <w:sz w:val="22"/>
            <w:szCs w:val="22"/>
            <w:u w:val="single"/>
            <w:rtl w:val="0"/>
          </w:rPr>
          <w:t xml:space="preserve">Newberry Springs – San Bernardino County (countywideplan.com)</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360" w:firstLine="0"/>
        <w:jc w:val="both"/>
        <w:rPr>
          <w:rFonts w:ascii="Arial" w:cs="Arial" w:eastAsia="Arial" w:hAnsi="Arial"/>
          <w:b w:val="1"/>
          <w:color w:val="0563c1"/>
          <w:sz w:val="22"/>
          <w:szCs w:val="22"/>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360" w:firstLine="0"/>
        <w:jc w:val="both"/>
        <w:rPr>
          <w:rFonts w:ascii="Arial" w:cs="Arial" w:eastAsia="Arial" w:hAnsi="Arial"/>
          <w:b w:val="1"/>
          <w:sz w:val="22"/>
          <w:szCs w:val="22"/>
        </w:rPr>
      </w:pPr>
      <w:hyperlink r:id="rId10">
        <w:r w:rsidDel="00000000" w:rsidR="00000000" w:rsidRPr="00000000">
          <w:rPr>
            <w:rFonts w:ascii="Arial" w:cs="Arial" w:eastAsia="Arial" w:hAnsi="Arial"/>
            <w:b w:val="1"/>
            <w:color w:val="0563c1"/>
            <w:sz w:val="22"/>
            <w:szCs w:val="22"/>
            <w:u w:val="single"/>
            <w:rtl w:val="0"/>
          </w:rPr>
          <w:t xml:space="preserve">newberry-springs-final-report-reduced-size.pdf (wordpress.com)</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36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360" w:firstLine="0"/>
        <w:jc w:val="both"/>
        <w:rPr>
          <w:rFonts w:ascii="Arial" w:cs="Arial" w:eastAsia="Arial" w:hAnsi="Arial"/>
          <w:b w:val="1"/>
          <w:sz w:val="22"/>
          <w:szCs w:val="22"/>
        </w:rPr>
      </w:pPr>
      <w:hyperlink r:id="rId11">
        <w:r w:rsidDel="00000000" w:rsidR="00000000" w:rsidRPr="00000000">
          <w:rPr>
            <w:rFonts w:ascii="Arial" w:cs="Arial" w:eastAsia="Arial" w:hAnsi="Arial"/>
            <w:b w:val="1"/>
            <w:color w:val="1155cc"/>
            <w:sz w:val="22"/>
            <w:szCs w:val="22"/>
            <w:u w:val="single"/>
            <w:rtl w:val="0"/>
          </w:rPr>
          <w:t xml:space="preserve">Civic Hub Strategic Plan - Newberry Community Services District (newberrycsd.net)</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upgrade of the CSD building, green renovation, and ADA upgrades to CSD parkland are supported by the following </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policies</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w:t>
      </w:r>
    </w:p>
    <w:p w:rsidR="00000000" w:rsidDel="00000000" w:rsidP="00000000" w:rsidRDefault="00000000" w:rsidRPr="00000000" w14:paraId="00000082">
      <w:pPr>
        <w:numPr>
          <w:ilvl w:val="0"/>
          <w:numId w:val="9"/>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Policy LU-4.6 Adaptive reuse</w:t>
      </w:r>
    </w:p>
    <w:p w:rsidR="00000000" w:rsidDel="00000000" w:rsidP="00000000" w:rsidRDefault="00000000" w:rsidRPr="00000000" w14:paraId="00000083">
      <w:pPr>
        <w:numPr>
          <w:ilvl w:val="0"/>
          <w:numId w:val="9"/>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Policy NR-1.9 Building design and upgrades.</w:t>
      </w:r>
    </w:p>
    <w:p w:rsidR="00000000" w:rsidDel="00000000" w:rsidP="00000000" w:rsidRDefault="00000000" w:rsidRPr="00000000" w14:paraId="00000084">
      <w:pPr>
        <w:numPr>
          <w:ilvl w:val="0"/>
          <w:numId w:val="9"/>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Policy HZ-3.12 Barriers to physical activity</w:t>
      </w:r>
    </w:p>
    <w:p w:rsidR="00000000" w:rsidDel="00000000" w:rsidP="00000000" w:rsidRDefault="00000000" w:rsidRPr="00000000" w14:paraId="00000085">
      <w:pPr>
        <w:numPr>
          <w:ilvl w:val="0"/>
          <w:numId w:val="9"/>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RE 3.6.2: Encourage the use of renewable energy facilities </w:t>
      </w:r>
    </w:p>
    <w:p w:rsidR="00000000" w:rsidDel="00000000" w:rsidP="00000000" w:rsidRDefault="00000000" w:rsidRPr="00000000" w14:paraId="00000086">
      <w:pPr>
        <w:numPr>
          <w:ilvl w:val="0"/>
          <w:numId w:val="9"/>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Community Focus Statement E: Improve public infrastructure.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CSD kitchen upgrade is supported by the following policies:</w:t>
      </w:r>
    </w:p>
    <w:p w:rsidR="00000000" w:rsidDel="00000000" w:rsidP="00000000" w:rsidRDefault="00000000" w:rsidRPr="00000000" w14:paraId="00000088">
      <w:pPr>
        <w:numPr>
          <w:ilvl w:val="0"/>
          <w:numId w:val="10"/>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Policy HZ-3.10 Multi-use facilities. Encourage remodeled public facilities serving unincorporated EJF areas be assessed and designed for features that improve the community’s access to physical activity and/or healthy food options.</w:t>
      </w:r>
    </w:p>
    <w:p w:rsidR="00000000" w:rsidDel="00000000" w:rsidP="00000000" w:rsidRDefault="00000000" w:rsidRPr="00000000" w14:paraId="00000089">
      <w:pPr>
        <w:numPr>
          <w:ilvl w:val="0"/>
          <w:numId w:val="10"/>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Community Focus Statement C: Provide for a stable economy focusing on economic development.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color w:val="1f1f1f"/>
          <w:sz w:val="22"/>
          <w:szCs w:val="22"/>
          <w:rtl w:val="0"/>
        </w:rPr>
        <w:t xml:space="preserve">Community engagement and feasibility study to</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 establish a CSD Civic Hub is supported by the Cal Poly study, CSD Civic Hub Str</w:t>
      </w:r>
      <w:r w:rsidDel="00000000" w:rsidR="00000000" w:rsidRPr="00000000">
        <w:rPr>
          <w:rFonts w:ascii="Arial" w:cs="Arial" w:eastAsia="Arial" w:hAnsi="Arial"/>
          <w:color w:val="1f1f1f"/>
          <w:sz w:val="22"/>
          <w:szCs w:val="22"/>
          <w:rtl w:val="0"/>
        </w:rPr>
        <w:t xml:space="preserve">ategic Plan</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 and the following </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policies</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w:t>
      </w:r>
    </w:p>
    <w:p w:rsidR="00000000" w:rsidDel="00000000" w:rsidP="00000000" w:rsidRDefault="00000000" w:rsidRPr="00000000" w14:paraId="0000008B">
      <w:pPr>
        <w:numPr>
          <w:ilvl w:val="0"/>
          <w:numId w:val="11"/>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Community Focus Statement B: Improve public safety; EMS, fire and sheriff.</w:t>
      </w:r>
    </w:p>
    <w:p w:rsidR="00000000" w:rsidDel="00000000" w:rsidP="00000000" w:rsidRDefault="00000000" w:rsidRPr="00000000" w14:paraId="0000008C">
      <w:pPr>
        <w:numPr>
          <w:ilvl w:val="0"/>
          <w:numId w:val="11"/>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Policy HZ-3.11 Public Health. Utilize County Department of Public Health resources in unincorporated EJF areas.</w:t>
      </w:r>
    </w:p>
    <w:p w:rsidR="00000000" w:rsidDel="00000000" w:rsidP="00000000" w:rsidRDefault="00000000" w:rsidRPr="00000000" w14:paraId="0000008D">
      <w:pPr>
        <w:numPr>
          <w:ilvl w:val="0"/>
          <w:numId w:val="11"/>
        </w:numPr>
        <w:pBdr>
          <w:top w:space="0" w:sz="0" w:val="nil"/>
          <w:left w:space="0" w:sz="0" w:val="nil"/>
          <w:bottom w:space="0" w:sz="0" w:val="nil"/>
          <w:right w:space="0" w:sz="0" w:val="nil"/>
          <w:between w:space="0" w:sz="0" w:val="nil"/>
        </w:pBdr>
        <w:shd w:fill="ffffff" w:val="clear"/>
        <w:spacing w:after="150" w:before="0" w:lineRule="auto"/>
        <w:ind w:left="720" w:hanging="360"/>
        <w:jc w:val="both"/>
        <w:rPr>
          <w:rFonts w:ascii="Arial" w:cs="Arial" w:eastAsia="Arial" w:hAnsi="Arial"/>
          <w:b w:val="1"/>
          <w:color w:val="000000"/>
          <w:sz w:val="22"/>
          <w:szCs w:val="22"/>
        </w:rPr>
      </w:pPr>
      <w:r w:rsidDel="00000000" w:rsidR="00000000" w:rsidRPr="00000000">
        <w:rPr>
          <w:rFonts w:ascii="Arial" w:cs="Arial" w:eastAsia="Arial" w:hAnsi="Arial"/>
          <w:color w:val="1f1f1f"/>
          <w:sz w:val="22"/>
          <w:szCs w:val="22"/>
          <w:rtl w:val="0"/>
        </w:rPr>
        <w:t xml:space="preserve">Policy HZ-3.15 Food access.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F">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High Speed Rail (HSR): </w:t>
      </w:r>
      <w:r w:rsidDel="00000000" w:rsidR="00000000" w:rsidRPr="00000000">
        <w:rPr>
          <w:rFonts w:ascii="Arial" w:cs="Arial" w:eastAsia="Arial" w:hAnsi="Arial"/>
          <w:i w:val="1"/>
          <w:color w:val="000000"/>
          <w:sz w:val="22"/>
          <w:szCs w:val="22"/>
          <w:rtl w:val="0"/>
        </w:rPr>
        <w:t xml:space="preserve">For applicants with planned HSR stations located along the “Silicon Valley to Central Valley Line” corridor only</w:t>
      </w:r>
      <w:r w:rsidDel="00000000" w:rsidR="00000000" w:rsidRPr="00000000">
        <w:rPr>
          <w:rFonts w:ascii="Arial" w:cs="Arial" w:eastAsia="Arial" w:hAnsi="Arial"/>
          <w:color w:val="000000"/>
          <w:sz w:val="22"/>
          <w:szCs w:val="22"/>
          <w:rtl w:val="0"/>
        </w:rPr>
        <w:t xml:space="preserve">: Do your Project Area and/or proposed projects include multi-modal connectivity to the HSR station area and affordable and mixed-income housing that is connected and accessible to the High Speed Rail station area? Will your project include community engagement to support station area design and implementation? Please describe briefly. </w:t>
      </w:r>
      <w:r w:rsidDel="00000000" w:rsidR="00000000" w:rsidRPr="00000000">
        <w:rPr>
          <w:rFonts w:ascii="Arial" w:cs="Arial" w:eastAsia="Arial" w:hAnsi="Arial"/>
          <w:b w:val="1"/>
          <w:color w:val="000000"/>
          <w:sz w:val="22"/>
          <w:szCs w:val="22"/>
          <w:rtl w:val="0"/>
        </w:rPr>
        <w:t xml:space="preserve">(200 words)</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p w:rsidR="00000000" w:rsidDel="00000000" w:rsidP="00000000" w:rsidRDefault="00000000" w:rsidRPr="00000000" w14:paraId="0000009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pStyle w:val="Heading2"/>
        <w:rPr>
          <w:b w:val="1"/>
          <w:sz w:val="22"/>
          <w:szCs w:val="22"/>
        </w:rPr>
      </w:pPr>
      <w:r w:rsidDel="00000000" w:rsidR="00000000" w:rsidRPr="00000000">
        <w:rPr>
          <w:b w:val="1"/>
          <w:sz w:val="22"/>
          <w:szCs w:val="22"/>
          <w:rtl w:val="0"/>
        </w:rPr>
        <w:t xml:space="preserve">Transformative Elements and Project Identification</w:t>
      </w:r>
      <w:r w:rsidDel="00000000" w:rsidR="00000000" w:rsidRPr="00000000">
        <w:rPr>
          <w:rtl w:val="0"/>
        </w:rPr>
      </w:r>
    </w:p>
    <w:p w:rsidR="00000000" w:rsidDel="00000000" w:rsidP="00000000" w:rsidRDefault="00000000" w:rsidRPr="00000000" w14:paraId="0000009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numPr>
          <w:ilvl w:val="0"/>
          <w:numId w:val="7"/>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how the proposed planning activities will further the Applicant’s ability to meet the </w:t>
      </w:r>
      <w:r w:rsidDel="00000000" w:rsidR="00000000" w:rsidRPr="00000000">
        <w:rPr>
          <w:rFonts w:ascii="Arial" w:cs="Arial" w:eastAsia="Arial" w:hAnsi="Arial"/>
          <w:color w:val="000000"/>
          <w:sz w:val="22"/>
          <w:szCs w:val="22"/>
          <w:rtl w:val="0"/>
        </w:rPr>
        <w:t xml:space="preserve">TCC</w:t>
      </w:r>
      <w:r w:rsidDel="00000000" w:rsidR="00000000" w:rsidRPr="00000000">
        <w:rPr>
          <w:rFonts w:ascii="Arial" w:cs="Arial" w:eastAsia="Arial" w:hAnsi="Arial"/>
          <w:color w:val="000000"/>
          <w:sz w:val="22"/>
          <w:szCs w:val="22"/>
          <w:rtl w:val="0"/>
        </w:rPr>
        <w:t xml:space="preserve"> Program’s Transformative Requirements. Proposals must address at least one (1) Transformative Requirement. Proposals will be evaluated based on both the number of requirements addressed, as well as the extent to which each requirement is incorporated into the planning activities. The specific Transformative Requirements that may be addressed include </w:t>
      </w:r>
      <w:r w:rsidDel="00000000" w:rsidR="00000000" w:rsidRPr="00000000">
        <w:rPr>
          <w:rFonts w:ascii="Arial" w:cs="Arial" w:eastAsia="Arial" w:hAnsi="Arial"/>
          <w:b w:val="1"/>
          <w:color w:val="000000"/>
          <w:sz w:val="22"/>
          <w:szCs w:val="22"/>
          <w:rtl w:val="0"/>
        </w:rPr>
        <w:t xml:space="preserve">(500 words)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9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numPr>
          <w:ilvl w:val="1"/>
          <w:numId w:val="1"/>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Community Engagement </w:t>
      </w:r>
    </w:p>
    <w:p w:rsidR="00000000" w:rsidDel="00000000" w:rsidP="00000000" w:rsidRDefault="00000000" w:rsidRPr="00000000" w14:paraId="00000098">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Displacement Avoidance </w:t>
      </w:r>
    </w:p>
    <w:p w:rsidR="00000000" w:rsidDel="00000000" w:rsidP="00000000" w:rsidRDefault="00000000" w:rsidRPr="00000000" w14:paraId="00000099">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Leverage Funding </w:t>
      </w:r>
    </w:p>
    <w:p w:rsidR="00000000" w:rsidDel="00000000" w:rsidP="00000000" w:rsidRDefault="00000000" w:rsidRPr="00000000" w14:paraId="0000009A">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Data Collection and Indicator Tracking </w:t>
      </w:r>
    </w:p>
    <w:p w:rsidR="00000000" w:rsidDel="00000000" w:rsidP="00000000" w:rsidRDefault="00000000" w:rsidRPr="00000000" w14:paraId="0000009B">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Climate Adaptation and Resiliency </w:t>
      </w:r>
    </w:p>
    <w:p w:rsidR="00000000" w:rsidDel="00000000" w:rsidP="00000000" w:rsidRDefault="00000000" w:rsidRPr="00000000" w14:paraId="0000009C">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Workforce Development and Economic Opportunities </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proposed planning activities will further the Applicant’s ability to meet the TCC Program’s Transformative Requirements in several ways.</w:t>
      </w:r>
    </w:p>
    <w:p w:rsidR="00000000" w:rsidDel="00000000" w:rsidP="00000000" w:rsidRDefault="00000000" w:rsidRPr="00000000" w14:paraId="0000009F">
      <w:pPr>
        <w:numPr>
          <w:ilvl w:val="0"/>
          <w:numId w:val="15"/>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Community Engagement: In addition to the prior planning efforts with the San Bernardino County and the Cal Poly Pomona students, the Newberry CSD completed a Civic Hub Strategic Plan and formed a standing committee to support the Transformative Climate Communities application and hosted three public meetings.  The community is dedicated to transformative climate change and assisted in the identification, scope, and priorities necessary to meet the grants goals.  If funded, further community engagement will take place with a professional community planner for the Civic Hub, parkland components and potential partnerships &amp; agreements.  This level of engagement will ensure that the planning process is inclusive and that the final plan reflects the needs and priorities of the community.</w:t>
      </w:r>
    </w:p>
    <w:p w:rsidR="00000000" w:rsidDel="00000000" w:rsidP="00000000" w:rsidRDefault="00000000" w:rsidRPr="00000000" w14:paraId="000000A0">
      <w:pPr>
        <w:numPr>
          <w:ilvl w:val="0"/>
          <w:numId w:val="15"/>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Displacement Avoidance: </w:t>
      </w:r>
      <w:r w:rsidDel="00000000" w:rsidR="00000000" w:rsidRPr="00000000">
        <w:rPr>
          <w:rFonts w:ascii="Arial" w:cs="Arial" w:eastAsia="Arial" w:hAnsi="Arial"/>
          <w:color w:val="444746"/>
          <w:sz w:val="22"/>
          <w:szCs w:val="22"/>
          <w:highlight w:val="white"/>
          <w:rtl w:val="0"/>
        </w:rPr>
        <w:t xml:space="preserve">Newberry Springs would not displace any residents, as it is revitalizing the current community spaces. </w:t>
      </w:r>
      <w:r w:rsidDel="00000000" w:rsidR="00000000" w:rsidRPr="00000000">
        <w:rPr>
          <w:rFonts w:ascii="Arial" w:cs="Arial" w:eastAsia="Arial" w:hAnsi="Arial"/>
          <w:color w:val="1f1f1f"/>
          <w:sz w:val="22"/>
          <w:szCs w:val="22"/>
          <w:rtl w:val="0"/>
        </w:rPr>
        <w:t xml:space="preserve">The area also has a high percentage of small local businesses, including NSEDA and NS Chamber entrepreneurs. These supporting partners will provide input for small business stabilization and measures to avoid displacement and build community wealth. </w:t>
      </w:r>
    </w:p>
    <w:p w:rsidR="00000000" w:rsidDel="00000000" w:rsidP="00000000" w:rsidRDefault="00000000" w:rsidRPr="00000000" w14:paraId="000000A1">
      <w:pPr>
        <w:numPr>
          <w:ilvl w:val="0"/>
          <w:numId w:val="15"/>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Leverage Funding: There are billions of dollars available at the state and federal level to support climate change and infrastructure development. After projects have been selected through community engagement sessions, the group will identify additional funding sources and submit applications to relevant funding opportunities, including other SGC programs such as further TCC </w:t>
      </w:r>
      <w:r w:rsidDel="00000000" w:rsidR="00000000" w:rsidRPr="00000000">
        <w:rPr>
          <w:rFonts w:ascii="Arial" w:cs="Arial" w:eastAsia="Arial" w:hAnsi="Arial"/>
          <w:color w:val="1f1f1f"/>
          <w:sz w:val="22"/>
          <w:szCs w:val="22"/>
          <w:rtl w:val="0"/>
        </w:rPr>
        <w:t xml:space="preserve">grants</w:t>
      </w:r>
      <w:r w:rsidDel="00000000" w:rsidR="00000000" w:rsidRPr="00000000">
        <w:rPr>
          <w:rFonts w:ascii="Arial" w:cs="Arial" w:eastAsia="Arial" w:hAnsi="Arial"/>
          <w:color w:val="1f1f1f"/>
          <w:sz w:val="22"/>
          <w:szCs w:val="22"/>
          <w:rtl w:val="0"/>
        </w:rPr>
        <w:t xml:space="preserve"> and Community Resilience Center grants. </w:t>
      </w:r>
    </w:p>
    <w:p w:rsidR="00000000" w:rsidDel="00000000" w:rsidP="00000000" w:rsidRDefault="00000000" w:rsidRPr="00000000" w14:paraId="000000A2">
      <w:pPr>
        <w:numPr>
          <w:ilvl w:val="0"/>
          <w:numId w:val="15"/>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Data Collection and Indicator Tracking: A work plan will be created to track the progress of the project and to measure its impact. The plan includes a variety of data collection methods, such as surveys, meeting notes, and sign-in sheets. This will help to ensure that a comprehensive range of data is collected, and that the data is representative of the views of the community.  The plan will also include a variety of proposed indicator tracking methods, such as GHG emissions reduction, increased tree canopy, expanded green spaces, and reduced energy use resulting from electrification. </w:t>
      </w:r>
    </w:p>
    <w:p w:rsidR="00000000" w:rsidDel="00000000" w:rsidP="00000000" w:rsidRDefault="00000000" w:rsidRPr="00000000" w14:paraId="000000A3">
      <w:pPr>
        <w:numPr>
          <w:ilvl w:val="0"/>
          <w:numId w:val="15"/>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Climate Adaptation and Resiliency: The team will explore a variety of projects, from small scale grassroots efforts to large capital infrastructure investments that contribute to a healthy environment, today and in the future. All projects under consideration will address objectives and needs identified in various plans listed in #9 above.</w:t>
      </w:r>
    </w:p>
    <w:p w:rsidR="00000000" w:rsidDel="00000000" w:rsidP="00000000" w:rsidRDefault="00000000" w:rsidRPr="00000000" w14:paraId="000000A4">
      <w:pPr>
        <w:numPr>
          <w:ilvl w:val="0"/>
          <w:numId w:val="15"/>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Workforce Development and Economic Opportunities: Proposed projects have an emphasis in workforce development and creating opportunities to engage with the business community. Building on the NSEDA Cottage training program, the improved facilities will create additional opportunities for local residents to gain skills that are applicable to the food service and agricultural industries. Additionally, the Newberry Springs Chamber of Commerce can support the CSD planning efforts by networking through connections to the local business </w:t>
      </w:r>
      <w:r w:rsidDel="00000000" w:rsidR="00000000" w:rsidRPr="00000000">
        <w:rPr>
          <w:rFonts w:ascii="Arial" w:cs="Arial" w:eastAsia="Arial" w:hAnsi="Arial"/>
          <w:color w:val="1f1f1f"/>
          <w:sz w:val="22"/>
          <w:szCs w:val="22"/>
          <w:rtl w:val="0"/>
        </w:rPr>
        <w:t xml:space="preserve">community</w:t>
      </w:r>
      <w:r w:rsidDel="00000000" w:rsidR="00000000" w:rsidRPr="00000000">
        <w:rPr>
          <w:rFonts w:ascii="Arial" w:cs="Arial" w:eastAsia="Arial" w:hAnsi="Arial"/>
          <w:color w:val="1f1f1f"/>
          <w:sz w:val="22"/>
          <w:szCs w:val="22"/>
          <w:rtl w:val="0"/>
        </w:rPr>
        <w:t xml:space="preserve"> to increase engagement sessions attendance. </w:t>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the planning process that will be used to identify projects based on the community’s need and to prioritize these projects based on feasibility. </w:t>
      </w:r>
      <w:r w:rsidDel="00000000" w:rsidR="00000000" w:rsidRPr="00000000">
        <w:rPr>
          <w:rFonts w:ascii="Arial" w:cs="Arial" w:eastAsia="Arial" w:hAnsi="Arial"/>
          <w:b w:val="1"/>
          <w:color w:val="000000"/>
          <w:sz w:val="22"/>
          <w:szCs w:val="22"/>
          <w:rtl w:val="0"/>
        </w:rPr>
        <w:t xml:space="preserve">(500 words)</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planning process for identifying projects based on community need and prioritizing these projects based on feasibility will consist of the following steps:</w:t>
      </w:r>
    </w:p>
    <w:p w:rsidR="00000000" w:rsidDel="00000000" w:rsidP="00000000" w:rsidRDefault="00000000" w:rsidRPr="00000000" w14:paraId="000000A9">
      <w:pPr>
        <w:numPr>
          <w:ilvl w:val="0"/>
          <w:numId w:val="18"/>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Defining the community: This first step has been completed and includes understanding the community's demographics, socioeconomic status, assets, resources, needs and priorities.</w:t>
      </w:r>
    </w:p>
    <w:p w:rsidR="00000000" w:rsidDel="00000000" w:rsidP="00000000" w:rsidRDefault="00000000" w:rsidRPr="00000000" w14:paraId="000000AA">
      <w:pPr>
        <w:numPr>
          <w:ilvl w:val="0"/>
          <w:numId w:val="18"/>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Conduct a needs assessment: The next step was done through a variety of methods, such as surveys, interviews, and focus groups.  The needs are outlined in the Newberry Springs Community Action Plan as well as the Cal Poly Study.</w:t>
      </w:r>
    </w:p>
    <w:p w:rsidR="00000000" w:rsidDel="00000000" w:rsidP="00000000" w:rsidRDefault="00000000" w:rsidRPr="00000000" w14:paraId="000000AB">
      <w:pPr>
        <w:numPr>
          <w:ilvl w:val="0"/>
          <w:numId w:val="18"/>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Prioritize the needs:  Unfortunately, the CSD does not have the authorities necessary to meet all of the community needs, but for the needs that can be met through the current CSD services, projects have been identified.  Planning will consider the severity of the need, the number of people who are affected by the need, and the feasibility of addressing the need.</w:t>
      </w:r>
    </w:p>
    <w:p w:rsidR="00000000" w:rsidDel="00000000" w:rsidP="00000000" w:rsidRDefault="00000000" w:rsidRPr="00000000" w14:paraId="000000AC">
      <w:pPr>
        <w:numPr>
          <w:ilvl w:val="0"/>
          <w:numId w:val="18"/>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Identify potential projects: Once the needs have been prioritized, potential projects can be identified. These projects should be designed to address the community's most pressing needs.</w:t>
      </w:r>
    </w:p>
    <w:p w:rsidR="00000000" w:rsidDel="00000000" w:rsidP="00000000" w:rsidRDefault="00000000" w:rsidRPr="00000000" w14:paraId="000000AD">
      <w:pPr>
        <w:numPr>
          <w:ilvl w:val="0"/>
          <w:numId w:val="18"/>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Feasibility analysis. Each potential project should be subjected to a feasibility analysis. This analysis should consider the project's cost, the availability of resources, and the likelihood of success.</w:t>
      </w:r>
    </w:p>
    <w:p w:rsidR="00000000" w:rsidDel="00000000" w:rsidP="00000000" w:rsidRDefault="00000000" w:rsidRPr="00000000" w14:paraId="000000AE">
      <w:pPr>
        <w:numPr>
          <w:ilvl w:val="0"/>
          <w:numId w:val="18"/>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Prioritize the projects. The projects should then be prioritized based on their feasibility. The most feasible projects should be given the highest priority.</w:t>
      </w:r>
    </w:p>
    <w:p w:rsidR="00000000" w:rsidDel="00000000" w:rsidP="00000000" w:rsidRDefault="00000000" w:rsidRPr="00000000" w14:paraId="000000AF">
      <w:pPr>
        <w:numPr>
          <w:ilvl w:val="0"/>
          <w:numId w:val="18"/>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Develop an implementation plan. Once the projects have been prioritized, an implementation plan should be developed. This plan should outline the steps that need to be taken to implement the projects.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planning process described above is a systematic approach to identifying projects based on community need and prioritizing these projects based on feasibility. By following this process, the CSD can ensure that they are addressing the most pressing needs of their communities in a way that is both effective and efficient.</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Some additional considerations that will be taken into account during the planning process:</w:t>
      </w:r>
    </w:p>
    <w:p w:rsidR="00000000" w:rsidDel="00000000" w:rsidP="00000000" w:rsidRDefault="00000000" w:rsidRPr="00000000" w14:paraId="000000B2">
      <w:pPr>
        <w:numPr>
          <w:ilvl w:val="0"/>
          <w:numId w:val="20"/>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involvement of community members. It is important to involve community members in the planning process from the beginning. This will help to ensure that the projects are aligned with the community's needs and priorities.</w:t>
      </w:r>
    </w:p>
    <w:p w:rsidR="00000000" w:rsidDel="00000000" w:rsidP="00000000" w:rsidRDefault="00000000" w:rsidRPr="00000000" w14:paraId="000000B3">
      <w:pPr>
        <w:numPr>
          <w:ilvl w:val="0"/>
          <w:numId w:val="20"/>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availability of resources. It is important to consider the availability of resources when prioritizing projects. Projects that require significant resources may not be feasible if the resources are not available.</w:t>
      </w:r>
    </w:p>
    <w:p w:rsidR="00000000" w:rsidDel="00000000" w:rsidP="00000000" w:rsidRDefault="00000000" w:rsidRPr="00000000" w14:paraId="000000B4">
      <w:pPr>
        <w:numPr>
          <w:ilvl w:val="0"/>
          <w:numId w:val="20"/>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likelihood of success. It is important to assess the likelihood of success for each project. Projects that are not likely to be successful should not be prioritized.</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By taking these factors into account, the CSD can increase the likelihood of success in their efforts to identify and implement projects that address the needs of their communities.</w:t>
      </w:r>
      <w:r w:rsidDel="00000000" w:rsidR="00000000" w:rsidRPr="00000000">
        <w:rPr>
          <w:rtl w:val="0"/>
        </w:rPr>
      </w:r>
    </w:p>
    <w:p w:rsidR="00000000" w:rsidDel="00000000" w:rsidP="00000000" w:rsidRDefault="00000000" w:rsidRPr="00000000" w14:paraId="000000B6">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how the planning process incorporates innovation, indigenous or community-based knowledge and practices into project design. </w:t>
      </w:r>
      <w:r w:rsidDel="00000000" w:rsidR="00000000" w:rsidRPr="00000000">
        <w:rPr>
          <w:rFonts w:ascii="Arial" w:cs="Arial" w:eastAsia="Arial" w:hAnsi="Arial"/>
          <w:b w:val="1"/>
          <w:color w:val="000000"/>
          <w:sz w:val="22"/>
          <w:szCs w:val="22"/>
          <w:rtl w:val="0"/>
        </w:rPr>
        <w:t xml:space="preserve">(200 words)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In addition to the San Bernardino County Planning efforts with the Newberry Springs Community Action Guide, the planning also involved a partnership between the community of Newberry Springs and California State Polytechnic University, Pomona. This partnership allowed for the expertise of both community members and the university to be brought to bear on the planning process. The students conducted an in-depth planning study that included a Shared History exercise and a Project Future workshop. These workshops helped to gather input from the community and to develop a deeper understanding of the past, present, and future challenges and opportunities facing Newberry Springs.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Second, the planning process included a Civi</w:t>
      </w:r>
      <w:r w:rsidDel="00000000" w:rsidR="00000000" w:rsidRPr="00000000">
        <w:rPr>
          <w:rFonts w:ascii="Arial" w:cs="Arial" w:eastAsia="Arial" w:hAnsi="Arial"/>
          <w:color w:val="1f1f1f"/>
          <w:sz w:val="22"/>
          <w:szCs w:val="22"/>
          <w:rtl w:val="0"/>
        </w:rPr>
        <w:t xml:space="preserve">c Hub Strategic Plan and </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a standing committee meeting to support the grant </w:t>
      </w:r>
      <w:r w:rsidDel="00000000" w:rsidR="00000000" w:rsidRPr="00000000">
        <w:rPr>
          <w:rFonts w:ascii="Arial" w:cs="Arial" w:eastAsia="Arial" w:hAnsi="Arial"/>
          <w:color w:val="1f1f1f"/>
          <w:sz w:val="22"/>
          <w:szCs w:val="22"/>
          <w:rtl w:val="0"/>
        </w:rPr>
        <w:t xml:space="preserve">followed by </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three public meetings. These meetings provided additional opportunities for community input and feedback.</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Third, a community planner will be hired to establish community-driven analysis, strategies, and knowledge that enable community members to participate in research project design throughout project execution. This will help to ensure that the project is designed in a way that is responsive to the needs and priorities of the community.</w:t>
      </w:r>
    </w:p>
    <w:p w:rsidR="00000000" w:rsidDel="00000000" w:rsidP="00000000" w:rsidRDefault="00000000" w:rsidRPr="00000000" w14:paraId="000000BA">
      <w:pPr>
        <w:pStyle w:val="Heading2"/>
        <w:rPr>
          <w:b w:val="1"/>
          <w:sz w:val="22"/>
          <w:szCs w:val="22"/>
        </w:rPr>
      </w:pPr>
      <w:r w:rsidDel="00000000" w:rsidR="00000000" w:rsidRPr="00000000">
        <w:rPr>
          <w:b w:val="1"/>
          <w:sz w:val="22"/>
          <w:szCs w:val="22"/>
          <w:rtl w:val="0"/>
        </w:rPr>
        <w:t xml:space="preserve">Organizational Capacity</w:t>
      </w:r>
    </w:p>
    <w:p w:rsidR="00000000" w:rsidDel="00000000" w:rsidP="00000000" w:rsidRDefault="00000000" w:rsidRPr="00000000" w14:paraId="000000B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numPr>
          <w:ilvl w:val="0"/>
          <w:numId w:val="7"/>
        </w:numPr>
        <w:pBdr>
          <w:top w:space="0" w:sz="0" w:val="nil"/>
          <w:left w:space="0" w:sz="0" w:val="nil"/>
          <w:bottom w:space="0" w:sz="0" w:val="nil"/>
          <w:right w:space="0" w:sz="0" w:val="nil"/>
          <w:between w:space="0" w:sz="0" w:val="nil"/>
        </w:pBdr>
        <w:ind w:left="360" w:hanging="360"/>
        <w:jc w:val="both"/>
        <w:rPr>
          <w:rFonts w:ascii="Arial" w:cs="Arial" w:eastAsia="Arial" w:hAnsi="Arial"/>
          <w:color w:val="333333"/>
          <w:sz w:val="22"/>
          <w:szCs w:val="22"/>
        </w:rPr>
      </w:pPr>
      <w:r w:rsidDel="00000000" w:rsidR="00000000" w:rsidRPr="00000000">
        <w:rPr>
          <w:rFonts w:ascii="Arial" w:cs="Arial" w:eastAsia="Arial" w:hAnsi="Arial"/>
          <w:color w:val="000000"/>
          <w:sz w:val="22"/>
          <w:szCs w:val="22"/>
          <w:rtl w:val="0"/>
        </w:rPr>
        <w:t xml:space="preserve">Describe the organizational capacity of the lead applicant and co-applicant(s). Please address the following </w:t>
      </w:r>
      <w:r w:rsidDel="00000000" w:rsidR="00000000" w:rsidRPr="00000000">
        <w:rPr>
          <w:rFonts w:ascii="Arial" w:cs="Arial" w:eastAsia="Arial" w:hAnsi="Arial"/>
          <w:b w:val="1"/>
          <w:color w:val="000000"/>
          <w:sz w:val="22"/>
          <w:szCs w:val="22"/>
          <w:highlight w:val="yellow"/>
          <w:rtl w:val="0"/>
        </w:rPr>
        <w:t xml:space="preserve">(200 words for each applicant entity):</w:t>
      </w:r>
      <w:r w:rsidDel="00000000" w:rsidR="00000000" w:rsidRPr="00000000">
        <w:rPr>
          <w:rtl w:val="0"/>
        </w:rPr>
      </w:r>
    </w:p>
    <w:p w:rsidR="00000000" w:rsidDel="00000000" w:rsidP="00000000" w:rsidRDefault="00000000" w:rsidRPr="00000000" w14:paraId="000000BD">
      <w:pPr>
        <w:jc w:val="both"/>
        <w:rPr>
          <w:rFonts w:ascii="Arial" w:cs="Arial" w:eastAsia="Arial" w:hAnsi="Arial"/>
          <w:color w:val="333333"/>
          <w:sz w:val="22"/>
          <w:szCs w:val="22"/>
        </w:rPr>
      </w:pPr>
      <w:r w:rsidDel="00000000" w:rsidR="00000000" w:rsidRPr="00000000">
        <w:rPr>
          <w:rtl w:val="0"/>
        </w:rPr>
      </w:r>
    </w:p>
    <w:p w:rsidR="00000000" w:rsidDel="00000000" w:rsidP="00000000" w:rsidRDefault="00000000" w:rsidRPr="00000000" w14:paraId="000000BE">
      <w:pPr>
        <w:numPr>
          <w:ilvl w:val="0"/>
          <w:numId w:val="6"/>
        </w:numPr>
        <w:pBdr>
          <w:top w:space="0" w:sz="0" w:val="nil"/>
          <w:left w:space="0" w:sz="0" w:val="nil"/>
          <w:bottom w:space="0" w:sz="0" w:val="nil"/>
          <w:right w:space="0" w:sz="0" w:val="nil"/>
          <w:between w:space="0" w:sz="0" w:val="nil"/>
        </w:pBdr>
        <w:ind w:left="1080" w:hanging="360"/>
        <w:jc w:val="both"/>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Organizational and Decision-Making Structure</w:t>
      </w:r>
    </w:p>
    <w:p w:rsidR="00000000" w:rsidDel="00000000" w:rsidP="00000000" w:rsidRDefault="00000000" w:rsidRPr="00000000" w14:paraId="000000BF">
      <w:pPr>
        <w:numPr>
          <w:ilvl w:val="0"/>
          <w:numId w:val="6"/>
        </w:numPr>
        <w:pBdr>
          <w:top w:space="0" w:sz="0" w:val="nil"/>
          <w:left w:space="0" w:sz="0" w:val="nil"/>
          <w:bottom w:space="0" w:sz="0" w:val="nil"/>
          <w:right w:space="0" w:sz="0" w:val="nil"/>
          <w:between w:space="0" w:sz="0" w:val="nil"/>
        </w:pBdr>
        <w:ind w:left="1080" w:hanging="360"/>
        <w:jc w:val="both"/>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Staff Resources (including estimated FTE) and roles in planning activities</w:t>
      </w:r>
    </w:p>
    <w:p w:rsidR="00000000" w:rsidDel="00000000" w:rsidP="00000000" w:rsidRDefault="00000000" w:rsidRPr="00000000" w14:paraId="000000C0">
      <w:pPr>
        <w:numPr>
          <w:ilvl w:val="0"/>
          <w:numId w:val="6"/>
        </w:numPr>
        <w:pBdr>
          <w:top w:space="0" w:sz="0" w:val="nil"/>
          <w:left w:space="0" w:sz="0" w:val="nil"/>
          <w:bottom w:space="0" w:sz="0" w:val="nil"/>
          <w:right w:space="0" w:sz="0" w:val="nil"/>
          <w:between w:space="0" w:sz="0" w:val="nil"/>
        </w:pBdr>
        <w:ind w:left="1080" w:hanging="360"/>
        <w:jc w:val="both"/>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Financial Capacity</w:t>
      </w:r>
    </w:p>
    <w:p w:rsidR="00000000" w:rsidDel="00000000" w:rsidP="00000000" w:rsidRDefault="00000000" w:rsidRPr="00000000" w14:paraId="000000C1">
      <w:pPr>
        <w:pBdr>
          <w:top w:space="0" w:sz="0" w:val="nil"/>
          <w:left w:space="0" w:sz="0" w:val="nil"/>
          <w:bottom w:space="0" w:sz="0" w:val="nil"/>
          <w:right w:space="0" w:sz="0" w:val="nil"/>
          <w:between w:space="0" w:sz="0" w:val="nil"/>
        </w:pBdr>
        <w:ind w:left="1080" w:firstLine="0"/>
        <w:jc w:val="both"/>
        <w:rPr>
          <w:rFonts w:ascii="Arial" w:cs="Arial" w:eastAsia="Arial" w:hAnsi="Arial"/>
          <w:color w:val="333333"/>
          <w:sz w:val="22"/>
          <w:szCs w:val="22"/>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color w:val="1f1f1f"/>
          <w:sz w:val="22"/>
          <w:szCs w:val="22"/>
        </w:rPr>
      </w:pPr>
      <w:r w:rsidDel="00000000" w:rsidR="00000000" w:rsidRPr="00000000">
        <w:rPr>
          <w:rFonts w:ascii="Arial" w:cs="Arial" w:eastAsia="Arial" w:hAnsi="Arial"/>
          <w:i w:val="0"/>
          <w:smallCaps w:val="0"/>
          <w:strike w:val="0"/>
          <w:color w:val="333333"/>
          <w:sz w:val="22"/>
          <w:szCs w:val="22"/>
          <w:u w:val="single"/>
          <w:shd w:fill="auto" w:val="clear"/>
          <w:vertAlign w:val="baseline"/>
          <w:rtl w:val="0"/>
        </w:rPr>
        <w:t xml:space="preserve">Lead Applicant:</w:t>
      </w:r>
      <w:r w:rsidDel="00000000" w:rsidR="00000000" w:rsidRPr="00000000">
        <w:rPr>
          <w:rFonts w:ascii="Arial" w:cs="Arial" w:eastAsia="Arial" w:hAnsi="Arial"/>
          <w:i w:val="0"/>
          <w:smallCaps w:val="0"/>
          <w:strike w:val="0"/>
          <w:color w:val="333333"/>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Newberry CSD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Board of Directors is the governing body of the CSD. The Board is responsible for setting policy, approving budgets, and hiring and firing staff. The Board consists of five members who are elected by the residents of the CSD.</w:t>
      </w:r>
    </w:p>
    <w:p w:rsidR="00000000" w:rsidDel="00000000" w:rsidP="00000000" w:rsidRDefault="00000000" w:rsidRPr="00000000" w14:paraId="000000C4">
      <w:pPr>
        <w:numPr>
          <w:ilvl w:val="0"/>
          <w:numId w:val="2"/>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General Manager: The General Manager is the chief executive officer of the CSD and is responsible for the day-to-day operations of the CSD and carrying out the policies set by the Board of Directors.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color w:val="1f1f1f"/>
          <w:sz w:val="22"/>
          <w:szCs w:val="22"/>
          <w:rtl w:val="0"/>
        </w:rPr>
        <w:t xml:space="preserve">Staff</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w:t>
      </w:r>
    </w:p>
    <w:p w:rsidR="00000000" w:rsidDel="00000000" w:rsidP="00000000" w:rsidRDefault="00000000" w:rsidRPr="00000000" w14:paraId="000000C6">
      <w:pPr>
        <w:numPr>
          <w:ilvl w:val="0"/>
          <w:numId w:val="4"/>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CSD has a total of 3 0.25 FTE employees.  Funding from this grant will increase this to 3 0.50 FTE.</w:t>
      </w:r>
    </w:p>
    <w:p w:rsidR="00000000" w:rsidDel="00000000" w:rsidP="00000000" w:rsidRDefault="00000000" w:rsidRPr="00000000" w14:paraId="000000C7">
      <w:pPr>
        <w:numPr>
          <w:ilvl w:val="0"/>
          <w:numId w:val="4"/>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CSD also contracts out for a few services, such as engineering and legal services.</w:t>
      </w:r>
    </w:p>
    <w:p w:rsidR="00000000" w:rsidDel="00000000" w:rsidP="00000000" w:rsidRDefault="00000000" w:rsidRPr="00000000" w14:paraId="000000C8">
      <w:pPr>
        <w:numPr>
          <w:ilvl w:val="0"/>
          <w:numId w:val="4"/>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CSD will hire a 0.5 FTE Project Manager who will oversee the daily activities under the planning grant and an 0.5 FTE community planner to lead the community engagement efforts and collaborate with all stakeholders developing programs, plans and formal agreements for the utilization of the upgraded facilities, and civic hub.</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Financial Capacity:</w:t>
      </w:r>
    </w:p>
    <w:p w:rsidR="00000000" w:rsidDel="00000000" w:rsidP="00000000" w:rsidRDefault="00000000" w:rsidRPr="00000000" w14:paraId="000000CA">
      <w:pPr>
        <w:numPr>
          <w:ilvl w:val="0"/>
          <w:numId w:val="5"/>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Annual Budget: The CSD's annual budget for 2023/2024 is $355,703</w:t>
      </w:r>
    </w:p>
    <w:p w:rsidR="00000000" w:rsidDel="00000000" w:rsidP="00000000" w:rsidRDefault="00000000" w:rsidRPr="00000000" w14:paraId="000000CB">
      <w:pPr>
        <w:numPr>
          <w:ilvl w:val="0"/>
          <w:numId w:val="5"/>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Funding Sources: </w:t>
      </w:r>
    </w:p>
    <w:p w:rsidR="00000000" w:rsidDel="00000000" w:rsidP="00000000" w:rsidRDefault="00000000" w:rsidRPr="00000000" w14:paraId="000000CC">
      <w:pPr>
        <w:numPr>
          <w:ilvl w:val="1"/>
          <w:numId w:val="5"/>
        </w:numPr>
        <w:shd w:fill="ffffff" w:val="clear"/>
        <w:spacing w:after="150" w:before="0" w:lineRule="auto"/>
        <w:ind w:left="144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Property taxes</w:t>
      </w:r>
    </w:p>
    <w:p w:rsidR="00000000" w:rsidDel="00000000" w:rsidP="00000000" w:rsidRDefault="00000000" w:rsidRPr="00000000" w14:paraId="000000CD">
      <w:pPr>
        <w:numPr>
          <w:ilvl w:val="1"/>
          <w:numId w:val="5"/>
        </w:numPr>
        <w:shd w:fill="ffffff" w:val="clear"/>
        <w:spacing w:after="150" w:before="0" w:lineRule="auto"/>
        <w:ind w:left="144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State and federal grants</w:t>
      </w:r>
    </w:p>
    <w:p w:rsidR="00000000" w:rsidDel="00000000" w:rsidP="00000000" w:rsidRDefault="00000000" w:rsidRPr="00000000" w14:paraId="000000CE">
      <w:pPr>
        <w:numPr>
          <w:ilvl w:val="1"/>
          <w:numId w:val="5"/>
        </w:numPr>
        <w:shd w:fill="ffffff" w:val="clear"/>
        <w:spacing w:after="150" w:before="0" w:lineRule="auto"/>
        <w:ind w:left="144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User fees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333333"/>
          <w:sz w:val="22"/>
          <w:szCs w:val="22"/>
          <w:u w:val="none"/>
          <w:shd w:fill="auto" w:val="clear"/>
          <w:vertAlign w:val="baseline"/>
        </w:rPr>
      </w:pPr>
      <w:r w:rsidDel="00000000" w:rsidR="00000000" w:rsidRPr="00000000">
        <w:rPr>
          <w:rFonts w:ascii="Arial" w:cs="Arial" w:eastAsia="Arial" w:hAnsi="Arial"/>
          <w:color w:val="333333"/>
          <w:sz w:val="22"/>
          <w:szCs w:val="22"/>
          <w:u w:val="single"/>
          <w:rtl w:val="0"/>
        </w:rPr>
        <w:t xml:space="preserve">Co-Applicant</w:t>
      </w:r>
      <w:r w:rsidDel="00000000" w:rsidR="00000000" w:rsidRPr="00000000">
        <w:rPr>
          <w:rFonts w:ascii="Arial" w:cs="Arial" w:eastAsia="Arial" w:hAnsi="Arial"/>
          <w:i w:val="0"/>
          <w:smallCaps w:val="0"/>
          <w:strike w:val="0"/>
          <w:color w:val="333333"/>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Main Street Murals (MSM) is a non-profit organization founded in 1997. </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Organizational and Decision-Making Structure of </w:t>
      </w:r>
      <w:r w:rsidDel="00000000" w:rsidR="00000000" w:rsidRPr="00000000">
        <w:rPr>
          <w:rFonts w:ascii="Arial" w:cs="Arial" w:eastAsia="Arial" w:hAnsi="Arial"/>
          <w:color w:val="1f1f1f"/>
          <w:sz w:val="22"/>
          <w:szCs w:val="22"/>
          <w:rtl w:val="0"/>
        </w:rPr>
        <w:t xml:space="preserve">MSM </w:t>
      </w: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is as follows:</w:t>
      </w:r>
    </w:p>
    <w:p w:rsidR="00000000" w:rsidDel="00000000" w:rsidP="00000000" w:rsidRDefault="00000000" w:rsidRPr="00000000" w14:paraId="000000D1">
      <w:pPr>
        <w:numPr>
          <w:ilvl w:val="0"/>
          <w:numId w:val="22"/>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Board of Directors: The Board of Directors is the governing body of MSM. It is responsible for setting the organization's overall direction, approving budgets, and hiring and firing staff. The Board is composed of five members, who are elected by the organization's membership.</w:t>
      </w:r>
    </w:p>
    <w:p w:rsidR="00000000" w:rsidDel="00000000" w:rsidP="00000000" w:rsidRDefault="00000000" w:rsidRPr="00000000" w14:paraId="000000D2">
      <w:pPr>
        <w:numPr>
          <w:ilvl w:val="0"/>
          <w:numId w:val="22"/>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Executive Director: The Executive Director is the chief executive officer of MSM. He/she is responsible for the day-to-day operations of the organization, including fundraising, program development, and marketing.</w:t>
      </w:r>
    </w:p>
    <w:p w:rsidR="00000000" w:rsidDel="00000000" w:rsidP="00000000" w:rsidRDefault="00000000" w:rsidRPr="00000000" w14:paraId="000000D3">
      <w:pPr>
        <w:numPr>
          <w:ilvl w:val="0"/>
          <w:numId w:val="22"/>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Staff: MSM has a staff of four part-time employees. These employees are responsible for a variety of tasks, including project management, grant writing, event planning and environmental outreach and education.  Based on expertise with event planning and environmental education programs for youth, MSM will consult with CSD for facility planning as well as design concepts for parkland and interpretive trail.</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The Staff Resources:</w:t>
      </w:r>
    </w:p>
    <w:p w:rsidR="00000000" w:rsidDel="00000000" w:rsidP="00000000" w:rsidRDefault="00000000" w:rsidRPr="00000000" w14:paraId="000000D5">
      <w:pPr>
        <w:numPr>
          <w:ilvl w:val="0"/>
          <w:numId w:val="24"/>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Executive Director: 0.5 FTE</w:t>
      </w:r>
    </w:p>
    <w:p w:rsidR="00000000" w:rsidDel="00000000" w:rsidP="00000000" w:rsidRDefault="00000000" w:rsidRPr="00000000" w14:paraId="000000D6">
      <w:pPr>
        <w:numPr>
          <w:ilvl w:val="0"/>
          <w:numId w:val="24"/>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Project Manager: 0.5 FTE</w:t>
      </w:r>
    </w:p>
    <w:p w:rsidR="00000000" w:rsidDel="00000000" w:rsidP="00000000" w:rsidRDefault="00000000" w:rsidRPr="00000000" w14:paraId="000000D7">
      <w:pPr>
        <w:numPr>
          <w:ilvl w:val="0"/>
          <w:numId w:val="24"/>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Grant Writer: 0.5 FTE</w:t>
      </w:r>
    </w:p>
    <w:p w:rsidR="00000000" w:rsidDel="00000000" w:rsidP="00000000" w:rsidRDefault="00000000" w:rsidRPr="00000000" w14:paraId="000000D8">
      <w:pPr>
        <w:numPr>
          <w:ilvl w:val="0"/>
          <w:numId w:val="24"/>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The grant would provide $10,000 for project design consulting and conceptual drawings.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i w:val="0"/>
          <w:smallCaps w:val="0"/>
          <w:strike w:val="0"/>
          <w:color w:val="1f1f1f"/>
          <w:sz w:val="22"/>
          <w:szCs w:val="22"/>
          <w:u w:val="none"/>
          <w:shd w:fill="auto" w:val="clear"/>
          <w:vertAlign w:val="baseline"/>
        </w:rPr>
      </w:pPr>
      <w:r w:rsidDel="00000000" w:rsidR="00000000" w:rsidRPr="00000000">
        <w:rPr>
          <w:rFonts w:ascii="Arial" w:cs="Arial" w:eastAsia="Arial" w:hAnsi="Arial"/>
          <w:i w:val="0"/>
          <w:smallCaps w:val="0"/>
          <w:strike w:val="0"/>
          <w:color w:val="1f1f1f"/>
          <w:sz w:val="22"/>
          <w:szCs w:val="22"/>
          <w:u w:val="none"/>
          <w:shd w:fill="auto" w:val="clear"/>
          <w:vertAlign w:val="baseline"/>
          <w:rtl w:val="0"/>
        </w:rPr>
        <w:t xml:space="preserve">Financial Capacity:</w:t>
      </w:r>
    </w:p>
    <w:p w:rsidR="00000000" w:rsidDel="00000000" w:rsidP="00000000" w:rsidRDefault="00000000" w:rsidRPr="00000000" w14:paraId="000000DA">
      <w:pPr>
        <w:numPr>
          <w:ilvl w:val="0"/>
          <w:numId w:val="25"/>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Annual Budget: $200,000</w:t>
      </w:r>
    </w:p>
    <w:p w:rsidR="00000000" w:rsidDel="00000000" w:rsidP="00000000" w:rsidRDefault="00000000" w:rsidRPr="00000000" w14:paraId="000000DB">
      <w:pPr>
        <w:numPr>
          <w:ilvl w:val="0"/>
          <w:numId w:val="25"/>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Funding Sources: Grants, donations, and event revenue</w:t>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Arial" w:cs="Arial" w:eastAsia="Arial" w:hAnsi="Arial"/>
          <w:color w:val="333333"/>
          <w:sz w:val="22"/>
          <w:szCs w:val="22"/>
        </w:rPr>
      </w:pPr>
      <w:r w:rsidDel="00000000" w:rsidR="00000000" w:rsidRPr="00000000">
        <w:rPr>
          <w:rtl w:val="0"/>
        </w:rPr>
      </w:r>
    </w:p>
    <w:p w:rsidR="00000000" w:rsidDel="00000000" w:rsidP="00000000" w:rsidRDefault="00000000" w:rsidRPr="00000000" w14:paraId="000000DD">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any additional partnerships and relationships that will be pursued during the grant term to expand community-based planning efforts. </w:t>
      </w:r>
      <w:r w:rsidDel="00000000" w:rsidR="00000000" w:rsidRPr="00000000">
        <w:rPr>
          <w:rFonts w:ascii="Arial" w:cs="Arial" w:eastAsia="Arial" w:hAnsi="Arial"/>
          <w:b w:val="1"/>
          <w:color w:val="000000"/>
          <w:sz w:val="22"/>
          <w:szCs w:val="22"/>
          <w:rtl w:val="0"/>
        </w:rPr>
        <w:t xml:space="preserve">(200 words) </w:t>
      </w:r>
      <w:r w:rsidDel="00000000" w:rsidR="00000000" w:rsidRPr="00000000">
        <w:rPr>
          <w:rtl w:val="0"/>
        </w:rPr>
      </w:r>
    </w:p>
    <w:p w:rsidR="00000000" w:rsidDel="00000000" w:rsidP="00000000" w:rsidRDefault="00000000" w:rsidRPr="00000000" w14:paraId="000000DE">
      <w:pPr>
        <w:numPr>
          <w:ilvl w:val="0"/>
          <w:numId w:val="16"/>
        </w:numPr>
        <w:shd w:fill="ffffff" w:val="clear"/>
        <w:spacing w:after="150" w:before="28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Local government: Newberry CSD may explore a partnership with San Bernardino County on a future implementation grant that would not only include the CSD projects but also projects outside of the authority of the CSD such as affordable housing and economic development along Route 66. </w:t>
      </w:r>
    </w:p>
    <w:p w:rsidR="00000000" w:rsidDel="00000000" w:rsidP="00000000" w:rsidRDefault="00000000" w:rsidRPr="00000000" w14:paraId="000000DF">
      <w:pPr>
        <w:numPr>
          <w:ilvl w:val="0"/>
          <w:numId w:val="16"/>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Nonprofit organizations: Newberry CSD will explore partnering with nonprofit organizations that are working on climate adaptation and resiliency in San Bernardino County. This could include working with environmental organizations and community development organizations to share resources, collaborate on projects, and advocate for policies that support climate action.</w:t>
      </w:r>
    </w:p>
    <w:p w:rsidR="00000000" w:rsidDel="00000000" w:rsidP="00000000" w:rsidRDefault="00000000" w:rsidRPr="00000000" w14:paraId="000000E0">
      <w:pPr>
        <w:numPr>
          <w:ilvl w:val="0"/>
          <w:numId w:val="16"/>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Newberry CSD supporting partners will work with San Bernardino County and Inland Empire Health Plan to assist in establishing an Federally Qualified Health Clinic (FQHC) to secure a satellite clinic that can bring primary care health, mental and dental services to the community.  </w:t>
      </w:r>
    </w:p>
    <w:p w:rsidR="00000000" w:rsidDel="00000000" w:rsidP="00000000" w:rsidRDefault="00000000" w:rsidRPr="00000000" w14:paraId="000000E1">
      <w:pPr>
        <w:numPr>
          <w:ilvl w:val="0"/>
          <w:numId w:val="16"/>
        </w:numPr>
        <w:shd w:fill="ffffff" w:val="clear"/>
        <w:spacing w:after="150" w:before="0" w:lineRule="auto"/>
        <w:ind w:left="720" w:hanging="360"/>
        <w:rPr>
          <w:rFonts w:ascii="Arial" w:cs="Arial" w:eastAsia="Arial" w:hAnsi="Arial"/>
          <w:color w:val="1f1f1f"/>
          <w:sz w:val="22"/>
          <w:szCs w:val="22"/>
        </w:rPr>
      </w:pPr>
      <w:r w:rsidDel="00000000" w:rsidR="00000000" w:rsidRPr="00000000">
        <w:rPr>
          <w:rFonts w:ascii="Arial" w:cs="Arial" w:eastAsia="Arial" w:hAnsi="Arial"/>
          <w:color w:val="1f1f1f"/>
          <w:sz w:val="22"/>
          <w:szCs w:val="22"/>
          <w:rtl w:val="0"/>
        </w:rPr>
        <w:t xml:space="preserve">Bank Institute:  Newberry CSD supporting partners will seek out a bank to provide a banking kiosk.  This will prevent a financially and environmentally expensive 50-mile round trip into Barstow.</w:t>
      </w:r>
    </w:p>
    <w:p w:rsidR="00000000" w:rsidDel="00000000" w:rsidP="00000000" w:rsidRDefault="00000000" w:rsidRPr="00000000" w14:paraId="000000E2">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any jurisdictional or site control permissions required to implement the proposed planning activities. Describe the commitments received from authorizing entities or property owners for the proposed activities, if applicable. </w:t>
      </w:r>
      <w:r w:rsidDel="00000000" w:rsidR="00000000" w:rsidRPr="00000000">
        <w:rPr>
          <w:rFonts w:ascii="Arial" w:cs="Arial" w:eastAsia="Arial" w:hAnsi="Arial"/>
          <w:b w:val="1"/>
          <w:color w:val="000000"/>
          <w:sz w:val="22"/>
          <w:szCs w:val="22"/>
          <w:rtl w:val="0"/>
        </w:rPr>
        <w:t xml:space="preserve">(200 words)</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36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Newberry CSD owns the land for the proposed planned activities. </w:t>
      </w:r>
    </w:p>
    <w:p w:rsidR="00000000" w:rsidDel="00000000" w:rsidP="00000000" w:rsidRDefault="00000000" w:rsidRPr="00000000" w14:paraId="000000E5">
      <w:pPr>
        <w:pBdr>
          <w:top w:space="0" w:sz="0" w:val="nil"/>
          <w:left w:space="0" w:sz="0" w:val="nil"/>
          <w:bottom w:space="0" w:sz="0" w:val="nil"/>
          <w:right w:space="0" w:sz="0" w:val="nil"/>
          <w:between w:space="0" w:sz="0" w:val="nil"/>
        </w:pBdr>
        <w:ind w:left="108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6">
      <w:pPr>
        <w:pStyle w:val="Heading2"/>
        <w:rPr>
          <w:b w:val="1"/>
          <w:sz w:val="22"/>
          <w:szCs w:val="22"/>
        </w:rPr>
      </w:pPr>
      <w:r w:rsidDel="00000000" w:rsidR="00000000" w:rsidRPr="00000000">
        <w:rPr>
          <w:b w:val="1"/>
          <w:sz w:val="22"/>
          <w:szCs w:val="22"/>
          <w:rtl w:val="0"/>
        </w:rPr>
        <w:t xml:space="preserve">Budget Summary</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numPr>
          <w:ilvl w:val="0"/>
          <w:numId w:val="7"/>
        </w:numPr>
        <w:pBdr>
          <w:top w:space="0" w:sz="0" w:val="nil"/>
          <w:left w:space="0" w:sz="0" w:val="nil"/>
          <w:bottom w:space="0" w:sz="0" w:val="nil"/>
          <w:right w:space="0" w:sz="0" w:val="nil"/>
          <w:between w:space="0" w:sz="0" w:val="nil"/>
        </w:pBdr>
        <w:ind w:left="45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a high-level budget narrative that summarizes the overall project costs. For each budget category, justify how and/or why the requested budget items help to meet the project deliverables. Organize the budget items under the following cost categories </w:t>
      </w:r>
      <w:r w:rsidDel="00000000" w:rsidR="00000000" w:rsidRPr="00000000">
        <w:rPr>
          <w:rFonts w:ascii="Arial" w:cs="Arial" w:eastAsia="Arial" w:hAnsi="Arial"/>
          <w:b w:val="1"/>
          <w:color w:val="000000"/>
          <w:sz w:val="22"/>
          <w:szCs w:val="22"/>
          <w:rtl w:val="0"/>
        </w:rPr>
        <w:t xml:space="preserve">(500 words)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E9">
      <w:pPr>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EA">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Personnel Salary</w:t>
      </w:r>
      <w:r w:rsidDel="00000000" w:rsidR="00000000" w:rsidRPr="00000000">
        <w:rPr>
          <w:rFonts w:ascii="Arial" w:cs="Arial" w:eastAsia="Arial" w:hAnsi="Arial"/>
          <w:color w:val="000000"/>
          <w:sz w:val="22"/>
          <w:szCs w:val="22"/>
          <w:rtl w:val="0"/>
        </w:rPr>
        <w:tab/>
        <w:tab/>
        <w:tab/>
        <w:tab/>
        <w:tab/>
      </w:r>
      <w:r w:rsidDel="00000000" w:rsidR="00000000" w:rsidRPr="00000000">
        <w:rPr>
          <w:rFonts w:ascii="Arial" w:cs="Arial" w:eastAsia="Arial" w:hAnsi="Arial"/>
          <w:b w:val="1"/>
          <w:i w:val="1"/>
          <w:color w:val="000000"/>
          <w:sz w:val="22"/>
          <w:szCs w:val="22"/>
          <w:rtl w:val="0"/>
        </w:rPr>
        <w:t xml:space="preserve">Total: $X,XXX</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EB">
      <w:pPr>
        <w:spacing w:after="120" w:lineRule="auto"/>
        <w:ind w:left="720" w:firstLine="0"/>
        <w:rPr>
          <w:rFonts w:ascii="Arial" w:cs="Arial" w:eastAsia="Arial" w:hAnsi="Arial"/>
          <w:color w:val="000000"/>
          <w:sz w:val="22"/>
          <w:szCs w:val="22"/>
        </w:rPr>
      </w:pPr>
      <w:r w:rsidDel="00000000" w:rsidR="00000000" w:rsidRPr="00000000">
        <w:rPr>
          <w:rFonts w:ascii="Arial" w:cs="Arial" w:eastAsia="Arial" w:hAnsi="Arial"/>
          <w:i w:val="1"/>
          <w:color w:val="000000"/>
          <w:sz w:val="22"/>
          <w:szCs w:val="22"/>
          <w:rtl w:val="0"/>
        </w:rPr>
        <w:t xml:space="preserve">Describe the anticipated responsibility of each personnel, as well as the breakdown of personnel time spent across project tasks (e.g., [Personnel Title] will spend XX% of their time coordinating with partners, XX% processing reimbursement requests, etc.). </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EC">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Benefits</w:t>
      </w:r>
      <w:r w:rsidDel="00000000" w:rsidR="00000000" w:rsidRPr="00000000">
        <w:rPr>
          <w:rFonts w:ascii="Arial" w:cs="Arial" w:eastAsia="Arial" w:hAnsi="Arial"/>
          <w:color w:val="000000"/>
          <w:sz w:val="22"/>
          <w:szCs w:val="22"/>
          <w:rtl w:val="0"/>
        </w:rPr>
        <w:tab/>
        <w:tab/>
        <w:tab/>
        <w:tab/>
        <w:tab/>
        <w:tab/>
      </w:r>
      <w:r w:rsidDel="00000000" w:rsidR="00000000" w:rsidRPr="00000000">
        <w:rPr>
          <w:rFonts w:ascii="Arial" w:cs="Arial" w:eastAsia="Arial" w:hAnsi="Arial"/>
          <w:b w:val="1"/>
          <w:i w:val="1"/>
          <w:color w:val="000000"/>
          <w:sz w:val="22"/>
          <w:szCs w:val="22"/>
          <w:rtl w:val="0"/>
        </w:rPr>
        <w:t xml:space="preserve">Total: $X,XXX</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ED">
      <w:pPr>
        <w:spacing w:after="120" w:lineRule="auto"/>
        <w:ind w:left="720" w:firstLine="0"/>
        <w:rPr>
          <w:rFonts w:ascii="Arial" w:cs="Arial" w:eastAsia="Arial" w:hAnsi="Arial"/>
          <w:color w:val="000000"/>
          <w:sz w:val="22"/>
          <w:szCs w:val="22"/>
        </w:rPr>
      </w:pPr>
      <w:r w:rsidDel="00000000" w:rsidR="00000000" w:rsidRPr="00000000">
        <w:rPr>
          <w:rFonts w:ascii="Arial" w:cs="Arial" w:eastAsia="Arial" w:hAnsi="Arial"/>
          <w:i w:val="1"/>
          <w:color w:val="000000"/>
          <w:sz w:val="22"/>
          <w:szCs w:val="22"/>
          <w:rtl w:val="0"/>
        </w:rPr>
        <w:t xml:space="preserve">Describe any additional benefits. Provide rate or percentage used for personnel.</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EE">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Travel </w:t>
      </w:r>
      <w:r w:rsidDel="00000000" w:rsidR="00000000" w:rsidRPr="00000000">
        <w:rPr>
          <w:rFonts w:ascii="Arial" w:cs="Arial" w:eastAsia="Arial" w:hAnsi="Arial"/>
          <w:color w:val="000000"/>
          <w:sz w:val="22"/>
          <w:szCs w:val="22"/>
          <w:rtl w:val="0"/>
        </w:rPr>
        <w:tab/>
        <w:tab/>
        <w:tab/>
        <w:tab/>
        <w:tab/>
        <w:tab/>
        <w:tab/>
      </w:r>
      <w:r w:rsidDel="00000000" w:rsidR="00000000" w:rsidRPr="00000000">
        <w:rPr>
          <w:rFonts w:ascii="Arial" w:cs="Arial" w:eastAsia="Arial" w:hAnsi="Arial"/>
          <w:b w:val="1"/>
          <w:i w:val="1"/>
          <w:color w:val="000000"/>
          <w:sz w:val="22"/>
          <w:szCs w:val="22"/>
          <w:rtl w:val="0"/>
        </w:rPr>
        <w:t xml:space="preserve">Total: $X,XXX</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EF">
      <w:pPr>
        <w:spacing w:after="120" w:lineRule="auto"/>
        <w:ind w:left="720" w:firstLine="0"/>
        <w:rPr>
          <w:rFonts w:ascii="Arial" w:cs="Arial" w:eastAsia="Arial" w:hAnsi="Arial"/>
          <w:color w:val="000000"/>
          <w:sz w:val="22"/>
          <w:szCs w:val="22"/>
        </w:rPr>
      </w:pPr>
      <w:r w:rsidDel="00000000" w:rsidR="00000000" w:rsidRPr="00000000">
        <w:rPr>
          <w:rFonts w:ascii="Arial" w:cs="Arial" w:eastAsia="Arial" w:hAnsi="Arial"/>
          <w:i w:val="1"/>
          <w:color w:val="000000"/>
          <w:sz w:val="22"/>
          <w:szCs w:val="22"/>
          <w:rtl w:val="0"/>
        </w:rPr>
        <w:t xml:space="preserve">Define the project staff that are anticipated to travel, the anticipated distance of regular travel (e.g., city, region, or State), the purpose of the travel, and the frequency of travel. Travel expenses will be compensated at the </w:t>
      </w:r>
      <w:hyperlink r:id="rId12">
        <w:r w:rsidDel="00000000" w:rsidR="00000000" w:rsidRPr="00000000">
          <w:rPr>
            <w:rFonts w:ascii="Arial" w:cs="Arial" w:eastAsia="Arial" w:hAnsi="Arial"/>
            <w:i w:val="1"/>
            <w:color w:val="0563c1"/>
            <w:sz w:val="22"/>
            <w:szCs w:val="22"/>
            <w:u w:val="single"/>
            <w:rtl w:val="0"/>
          </w:rPr>
          <w:t xml:space="preserve">California Department of Human Resources Travel Reimbursement rates</w:t>
        </w:r>
      </w:hyperlink>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F0">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Equipment</w:t>
      </w:r>
      <w:r w:rsidDel="00000000" w:rsidR="00000000" w:rsidRPr="00000000">
        <w:rPr>
          <w:rFonts w:ascii="Arial" w:cs="Arial" w:eastAsia="Arial" w:hAnsi="Arial"/>
          <w:color w:val="000000"/>
          <w:sz w:val="22"/>
          <w:szCs w:val="22"/>
          <w:rtl w:val="0"/>
        </w:rPr>
        <w:tab/>
        <w:tab/>
        <w:tab/>
        <w:tab/>
        <w:tab/>
        <w:tab/>
      </w:r>
      <w:r w:rsidDel="00000000" w:rsidR="00000000" w:rsidRPr="00000000">
        <w:rPr>
          <w:rFonts w:ascii="Arial" w:cs="Arial" w:eastAsia="Arial" w:hAnsi="Arial"/>
          <w:b w:val="1"/>
          <w:i w:val="1"/>
          <w:color w:val="000000"/>
          <w:sz w:val="22"/>
          <w:szCs w:val="22"/>
          <w:rtl w:val="0"/>
        </w:rPr>
        <w:t xml:space="preserve">Total: $X,XXX</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F1">
      <w:pPr>
        <w:spacing w:after="120" w:lineRule="auto"/>
        <w:ind w:left="720" w:firstLine="0"/>
        <w:rPr>
          <w:rFonts w:ascii="Arial" w:cs="Arial" w:eastAsia="Arial" w:hAnsi="Arial"/>
          <w:color w:val="000000"/>
          <w:sz w:val="22"/>
          <w:szCs w:val="22"/>
        </w:rPr>
      </w:pPr>
      <w:r w:rsidDel="00000000" w:rsidR="00000000" w:rsidRPr="00000000">
        <w:rPr>
          <w:rFonts w:ascii="Arial" w:cs="Arial" w:eastAsia="Arial" w:hAnsi="Arial"/>
          <w:i w:val="1"/>
          <w:color w:val="000000"/>
          <w:sz w:val="22"/>
          <w:szCs w:val="22"/>
          <w:rtl w:val="0"/>
        </w:rPr>
        <w:t xml:space="preserve">Describe the pieces of equipment that would be purchased for the project and how that equipment would support completion of the project goals. Please note that all single pieces of equipment with values equal to or in excess of $5,000 must be accompanied by specific justification and documentation.</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F2">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Other Direct Costs/Pre-development</w:t>
      </w:r>
      <w:r w:rsidDel="00000000" w:rsidR="00000000" w:rsidRPr="00000000">
        <w:rPr>
          <w:rFonts w:ascii="Arial" w:cs="Arial" w:eastAsia="Arial" w:hAnsi="Arial"/>
          <w:color w:val="000000"/>
          <w:sz w:val="22"/>
          <w:szCs w:val="22"/>
          <w:rtl w:val="0"/>
        </w:rPr>
        <w:tab/>
        <w:tab/>
      </w:r>
      <w:r w:rsidDel="00000000" w:rsidR="00000000" w:rsidRPr="00000000">
        <w:rPr>
          <w:rFonts w:ascii="Arial" w:cs="Arial" w:eastAsia="Arial" w:hAnsi="Arial"/>
          <w:b w:val="1"/>
          <w:i w:val="1"/>
          <w:color w:val="000000"/>
          <w:sz w:val="22"/>
          <w:szCs w:val="22"/>
          <w:rtl w:val="0"/>
        </w:rPr>
        <w:t xml:space="preserve">Total: $X,XXX </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F3">
      <w:pPr>
        <w:spacing w:after="120" w:lineRule="auto"/>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Describe any addition direct costs that would be incurred for the project and how it would support the project goals. </w:t>
      </w:r>
    </w:p>
    <w:p w:rsidR="00000000" w:rsidDel="00000000" w:rsidP="00000000" w:rsidRDefault="00000000" w:rsidRPr="00000000" w14:paraId="000000F4">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Subcontractors</w:t>
      </w:r>
      <w:r w:rsidDel="00000000" w:rsidR="00000000" w:rsidRPr="00000000">
        <w:rPr>
          <w:rFonts w:ascii="Arial" w:cs="Arial" w:eastAsia="Arial" w:hAnsi="Arial"/>
          <w:color w:val="000000"/>
          <w:sz w:val="22"/>
          <w:szCs w:val="22"/>
          <w:rtl w:val="0"/>
        </w:rPr>
        <w:tab/>
        <w:tab/>
        <w:tab/>
        <w:tab/>
        <w:tab/>
      </w:r>
      <w:r w:rsidDel="00000000" w:rsidR="00000000" w:rsidRPr="00000000">
        <w:rPr>
          <w:rFonts w:ascii="Arial" w:cs="Arial" w:eastAsia="Arial" w:hAnsi="Arial"/>
          <w:b w:val="1"/>
          <w:i w:val="1"/>
          <w:color w:val="000000"/>
          <w:sz w:val="22"/>
          <w:szCs w:val="22"/>
          <w:rtl w:val="0"/>
        </w:rPr>
        <w:t xml:space="preserve">Total: $X,XXX</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F5">
      <w:pPr>
        <w:spacing w:after="120" w:lineRule="auto"/>
        <w:ind w:left="720" w:firstLine="0"/>
        <w:rPr>
          <w:rFonts w:ascii="Arial" w:cs="Arial" w:eastAsia="Arial" w:hAnsi="Arial"/>
          <w:color w:val="000000"/>
          <w:sz w:val="22"/>
          <w:szCs w:val="22"/>
        </w:rPr>
      </w:pPr>
      <w:r w:rsidDel="00000000" w:rsidR="00000000" w:rsidRPr="00000000">
        <w:rPr>
          <w:rFonts w:ascii="Arial" w:cs="Arial" w:eastAsia="Arial" w:hAnsi="Arial"/>
          <w:i w:val="1"/>
          <w:color w:val="000000"/>
          <w:sz w:val="22"/>
          <w:szCs w:val="22"/>
          <w:rtl w:val="0"/>
        </w:rPr>
        <w:t xml:space="preserve">Describe subcontractor's role in meeting project goals. All projects that include subcontractor costs equal to or in excess of $100,000 must be accompanied by specific justification and documentation for the subcontractor expenses.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F6">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Indirect Costs</w:t>
      </w:r>
      <w:r w:rsidDel="00000000" w:rsidR="00000000" w:rsidRPr="00000000">
        <w:rPr>
          <w:rFonts w:ascii="Arial" w:cs="Arial" w:eastAsia="Arial" w:hAnsi="Arial"/>
          <w:color w:val="000000"/>
          <w:sz w:val="22"/>
          <w:szCs w:val="22"/>
          <w:rtl w:val="0"/>
        </w:rPr>
        <w:tab/>
        <w:tab/>
        <w:tab/>
        <w:tab/>
        <w:tab/>
      </w:r>
      <w:r w:rsidDel="00000000" w:rsidR="00000000" w:rsidRPr="00000000">
        <w:rPr>
          <w:rFonts w:ascii="Arial" w:cs="Arial" w:eastAsia="Arial" w:hAnsi="Arial"/>
          <w:b w:val="1"/>
          <w:i w:val="1"/>
          <w:color w:val="000000"/>
          <w:sz w:val="22"/>
          <w:szCs w:val="22"/>
          <w:rtl w:val="0"/>
        </w:rPr>
        <w:t xml:space="preserve">Total: $X,XXX</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F7">
      <w:pPr>
        <w:spacing w:after="120" w:lineRule="auto"/>
        <w:ind w:left="720" w:firstLine="0"/>
        <w:rPr>
          <w:rFonts w:ascii="Arial" w:cs="Arial" w:eastAsia="Arial" w:hAnsi="Arial"/>
          <w:color w:val="000000"/>
          <w:sz w:val="22"/>
          <w:szCs w:val="22"/>
        </w:rPr>
      </w:pPr>
      <w:r w:rsidDel="00000000" w:rsidR="00000000" w:rsidRPr="00000000">
        <w:rPr>
          <w:rFonts w:ascii="Arial" w:cs="Arial" w:eastAsia="Arial" w:hAnsi="Arial"/>
          <w:i w:val="1"/>
          <w:color w:val="000000"/>
          <w:sz w:val="22"/>
          <w:szCs w:val="22"/>
          <w:rtl w:val="0"/>
        </w:rPr>
        <w:t xml:space="preserve">Indirect costs are capped at 12%.</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F8">
      <w:pPr>
        <w:pBdr>
          <w:top w:color="000000" w:space="1" w:sz="18" w:val="single"/>
        </w:pBd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 OF DOCUMENT</w:t>
      </w:r>
    </w:p>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Fira Mon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center" w:leader="none" w:pos="4680"/>
        <w:tab w:val="right" w:leader="none" w:pos="9360"/>
      </w:tabs>
      <w:ind w:left="72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Page </w:t>
    </w:r>
    <w:r w:rsidDel="00000000" w:rsidR="00000000" w:rsidRPr="00000000">
      <w:rPr>
        <w:rFonts w:ascii="Arial" w:cs="Arial" w:eastAsia="Arial" w:hAnsi="Arial"/>
        <w:color w:val="2b579a"/>
        <w:sz w:val="18"/>
        <w:szCs w:val="18"/>
        <w:shd w:fill="e6e6e6" w:val="clear"/>
      </w:rPr>
      <w:fldChar w:fldCharType="begin"/>
      <w:instrText xml:space="preserve">PAGE</w:instrText>
      <w:fldChar w:fldCharType="separate"/>
      <w:fldChar w:fldCharType="end"/>
    </w:r>
    <w:r w:rsidDel="00000000" w:rsidR="00000000" w:rsidRPr="00000000">
      <w:rPr>
        <w:rFonts w:ascii="Arial" w:cs="Arial" w:eastAsia="Arial" w:hAnsi="Arial"/>
        <w:color w:val="000000"/>
        <w:sz w:val="18"/>
        <w:szCs w:val="18"/>
        <w:rtl w:val="0"/>
      </w:rPr>
      <w:t xml:space="preserve"> of </w:t>
    </w:r>
    <w:r w:rsidDel="00000000" w:rsidR="00000000" w:rsidRPr="00000000">
      <w:rPr>
        <w:rFonts w:ascii="Arial" w:cs="Arial" w:eastAsia="Arial" w:hAnsi="Arial"/>
        <w:color w:val="2b579a"/>
        <w:sz w:val="18"/>
        <w:szCs w:val="18"/>
        <w:shd w:fill="e6e6e6" w:val="clear"/>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center" w:leader="none" w:pos="4680"/>
        <w:tab w:val="right" w:leader="none" w:pos="9360"/>
      </w:tabs>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center" w:leader="none" w:pos="4680"/>
        <w:tab w:val="right" w:leader="none" w:pos="9360"/>
      </w:tabs>
      <w:ind w:left="72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Page </w:t>
    </w:r>
    <w:r w:rsidDel="00000000" w:rsidR="00000000" w:rsidRPr="00000000">
      <w:rPr>
        <w:rFonts w:ascii="Arial" w:cs="Arial" w:eastAsia="Arial" w:hAnsi="Arial"/>
        <w:color w:val="2b579a"/>
        <w:sz w:val="18"/>
        <w:szCs w:val="18"/>
        <w:shd w:fill="e6e6e6" w:val="clear"/>
      </w:rPr>
      <w:fldChar w:fldCharType="begin"/>
      <w:instrText xml:space="preserve">PAGE</w:instrText>
      <w:fldChar w:fldCharType="separate"/>
      <w:fldChar w:fldCharType="end"/>
    </w:r>
    <w:r w:rsidDel="00000000" w:rsidR="00000000" w:rsidRPr="00000000">
      <w:rPr>
        <w:rFonts w:ascii="Arial" w:cs="Arial" w:eastAsia="Arial" w:hAnsi="Arial"/>
        <w:color w:val="000000"/>
        <w:sz w:val="18"/>
        <w:szCs w:val="18"/>
        <w:rtl w:val="0"/>
      </w:rPr>
      <w:t xml:space="preserve"> of </w:t>
    </w:r>
    <w:r w:rsidDel="00000000" w:rsidR="00000000" w:rsidRPr="00000000">
      <w:rPr>
        <w:rFonts w:ascii="Arial" w:cs="Arial" w:eastAsia="Arial" w:hAnsi="Arial"/>
        <w:color w:val="2b579a"/>
        <w:sz w:val="18"/>
        <w:szCs w:val="18"/>
        <w:shd w:fill="e6e6e6" w:val="clear"/>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18"/>
          <w:szCs w:val="18"/>
          <w:rtl w:val="0"/>
        </w:rPr>
        <w:t xml:space="preserve">The State of California’s Planning Priorities are contained in </w:t>
      </w:r>
      <w:hyperlink r:id="rId1">
        <w:r w:rsidDel="00000000" w:rsidR="00000000" w:rsidRPr="00000000">
          <w:rPr>
            <w:rFonts w:ascii="Arial" w:cs="Arial" w:eastAsia="Arial" w:hAnsi="Arial"/>
            <w:color w:val="0563c1"/>
            <w:sz w:val="18"/>
            <w:szCs w:val="18"/>
            <w:u w:val="single"/>
            <w:rtl w:val="0"/>
          </w:rPr>
          <w:t xml:space="preserve">Section 65041.1 of the Government Code</w:t>
        </w:r>
      </w:hyperlink>
      <w:r w:rsidDel="00000000" w:rsidR="00000000" w:rsidRPr="00000000">
        <w:rPr>
          <w:rFonts w:ascii="Arial" w:cs="Arial" w:eastAsia="Arial" w:hAnsi="Arial"/>
          <w:color w:val="000000"/>
          <w:sz w:val="18"/>
          <w:szCs w:val="18"/>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2b579a"/>
      </w:rPr>
      <w:drawing>
        <wp:inline distB="0" distT="0" distL="0" distR="0">
          <wp:extent cx="1562728" cy="694701"/>
          <wp:effectExtent b="0" l="0" r="0" t="0"/>
          <wp:docPr id="24" name="image1.png"/>
          <a:graphic>
            <a:graphicData uri="http://schemas.openxmlformats.org/drawingml/2006/picture">
              <pic:pic>
                <pic:nvPicPr>
                  <pic:cNvPr id="0" name="image1.png"/>
                  <pic:cNvPicPr preferRelativeResize="0"/>
                </pic:nvPicPr>
                <pic:blipFill>
                  <a:blip r:embed="rId1"/>
                  <a:srcRect b="8806" l="9846" r="4373" t="10733"/>
                  <a:stretch>
                    <a:fillRect/>
                  </a:stretch>
                </pic:blipFill>
                <pic:spPr>
                  <a:xfrm>
                    <a:off x="0" y="0"/>
                    <a:ext cx="1562728" cy="694701"/>
                  </a:xfrm>
                  <a:prstGeom prst="rect"/>
                  <a:ln/>
                </pic:spPr>
              </pic:pic>
            </a:graphicData>
          </a:graphic>
        </wp:inline>
      </w:drawing>
    </w:r>
    <w:r w:rsidDel="00000000" w:rsidR="00000000" w:rsidRPr="00000000">
      <w:rPr>
        <w:rFonts w:ascii="Calibri" w:cs="Calibri" w:eastAsia="Calibri" w:hAnsi="Calibri"/>
        <w:color w:val="000000"/>
        <w:sz w:val="22"/>
        <w:szCs w:val="22"/>
        <w:rtl w:val="0"/>
      </w:rPr>
      <w:t xml:space="preserve">      </w:t>
      <w:tab/>
      <w:tab/>
      <w:t xml:space="preserve">            </w:t>
    </w:r>
    <w:r w:rsidDel="00000000" w:rsidR="00000000" w:rsidRPr="00000000">
      <w:rPr>
        <w:color w:val="2b579a"/>
      </w:rPr>
      <w:drawing>
        <wp:inline distB="0" distT="0" distL="0" distR="0">
          <wp:extent cx="2035300" cy="632211"/>
          <wp:effectExtent b="0" l="0" r="0" t="0"/>
          <wp:docPr id="25" name="image2.jpg"/>
          <a:graphic>
            <a:graphicData uri="http://schemas.openxmlformats.org/drawingml/2006/picture">
              <pic:pic>
                <pic:nvPicPr>
                  <pic:cNvPr id="0" name="image2.jpg"/>
                  <pic:cNvPicPr preferRelativeResize="0"/>
                </pic:nvPicPr>
                <pic:blipFill>
                  <a:blip r:embed="rId2"/>
                  <a:srcRect b="7678" l="0" r="0" t="7009"/>
                  <a:stretch>
                    <a:fillRect/>
                  </a:stretch>
                </pic:blipFill>
                <pic:spPr>
                  <a:xfrm>
                    <a:off x="0" y="0"/>
                    <a:ext cx="2035300" cy="632211"/>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Transformative Climate Communities Program</w:t>
    </w:r>
  </w:p>
  <w:p w:rsidR="00000000" w:rsidDel="00000000" w:rsidP="00000000" w:rsidRDefault="00000000" w:rsidRPr="00000000" w14:paraId="000000F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Round 5 - Planning Grant Application</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680"/>
              <w:tab w:val="right" w:leader="none" w:pos="9360"/>
            </w:tabs>
            <w:ind w:left="-115" w:firstLine="0"/>
            <w:rPr>
              <w:color w:val="000000"/>
            </w:rPr>
          </w:pPr>
          <w:r w:rsidDel="00000000" w:rsidR="00000000" w:rsidRPr="00000000">
            <w:rPr>
              <w:rtl w:val="0"/>
            </w:rPr>
          </w:r>
        </w:p>
      </w:tc>
      <w:tc>
        <w:tcPr/>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tc>
      <w:tc>
        <w:tcPr/>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leader="none" w:pos="4680"/>
              <w:tab w:val="right" w:leader="none" w:pos="9360"/>
            </w:tabs>
            <w:ind w:right="-115"/>
            <w:jc w:val="right"/>
            <w:rPr>
              <w:color w:val="000000"/>
            </w:rPr>
          </w:pPr>
          <w:r w:rsidDel="00000000" w:rsidR="00000000" w:rsidRPr="00000000">
            <w:rPr>
              <w:rtl w:val="0"/>
            </w:rPr>
          </w:r>
        </w:p>
      </w:tc>
    </w:tr>
  </w:tbl>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59" w:lineRule="auto"/>
    </w:pPr>
    <w:rPr>
      <w:rFonts w:ascii="Arial" w:cs="Arial" w:eastAsia="Arial" w:hAnsi="Arial"/>
      <w:color w:val="2e75b5"/>
      <w:sz w:val="32"/>
      <w:szCs w:val="32"/>
    </w:rPr>
  </w:style>
  <w:style w:type="paragraph" w:styleId="Heading2">
    <w:name w:val="heading 2"/>
    <w:basedOn w:val="Normal"/>
    <w:next w:val="Normal"/>
    <w:pPr>
      <w:spacing w:line="259" w:lineRule="auto"/>
    </w:pPr>
    <w:rPr>
      <w:rFonts w:ascii="Arial" w:cs="Arial" w:eastAsia="Arial" w:hAnsi="Arial"/>
      <w:color w:val="2e75b5"/>
    </w:rPr>
  </w:style>
  <w:style w:type="paragraph" w:styleId="Heading3">
    <w:name w:val="heading 3"/>
    <w:basedOn w:val="Normal"/>
    <w:next w:val="Normal"/>
    <w:pPr>
      <w:spacing w:line="259" w:lineRule="auto"/>
    </w:pPr>
    <w:rPr>
      <w:rFonts w:ascii="Arial" w:cs="Arial" w:eastAsia="Arial" w:hAnsi="Arial"/>
      <w:color w:val="1f4e79"/>
      <w:sz w:val="22"/>
      <w:szCs w:val="22"/>
    </w:rPr>
  </w:style>
  <w:style w:type="paragraph" w:styleId="Heading4">
    <w:name w:val="heading 4"/>
    <w:basedOn w:val="Normal"/>
    <w:next w:val="Normal"/>
    <w:pPr>
      <w:keepNext w:val="1"/>
      <w:keepLines w:val="1"/>
      <w:spacing w:after="40" w:before="240" w:line="259" w:lineRule="auto"/>
    </w:pPr>
    <w:rPr>
      <w:rFonts w:ascii="Calibri" w:cs="Calibri" w:eastAsia="Calibri" w:hAnsi="Calibri"/>
      <w:b w:val="1"/>
    </w:rPr>
  </w:style>
  <w:style w:type="paragraph" w:styleId="Heading5">
    <w:name w:val="heading 5"/>
    <w:basedOn w:val="Normal"/>
    <w:next w:val="Normal"/>
    <w:pPr>
      <w:keepNext w:val="1"/>
      <w:keepLines w:val="1"/>
      <w:spacing w:after="40" w:before="220" w:line="259" w:lineRule="auto"/>
    </w:pPr>
    <w:rPr>
      <w:rFonts w:ascii="Calibri" w:cs="Calibri" w:eastAsia="Calibri" w:hAnsi="Calibri"/>
      <w:b w:val="1"/>
      <w:sz w:val="22"/>
      <w:szCs w:val="22"/>
    </w:rPr>
  </w:style>
  <w:style w:type="paragraph" w:styleId="Heading6">
    <w:name w:val="heading 6"/>
    <w:basedOn w:val="Normal"/>
    <w:next w:val="Normal"/>
    <w:pPr>
      <w:keepNext w:val="1"/>
      <w:keepLines w:val="1"/>
      <w:spacing w:after="40" w:before="200" w:line="259" w:lineRule="auto"/>
    </w:pPr>
    <w:rPr>
      <w:rFonts w:ascii="Calibri" w:cs="Calibri" w:eastAsia="Calibri" w:hAnsi="Calibri"/>
      <w:b w:val="1"/>
      <w:sz w:val="20"/>
      <w:szCs w:val="20"/>
    </w:rPr>
  </w:style>
  <w:style w:type="paragraph" w:styleId="Title">
    <w:name w:val="Title"/>
    <w:basedOn w:val="Normal"/>
    <w:next w:val="Normal"/>
    <w:pPr>
      <w:jc w:val="center"/>
    </w:pPr>
    <w:rPr>
      <w:rFonts w:ascii="Arial" w:cs="Arial" w:eastAsia="Arial" w:hAnsi="Arial"/>
      <w:sz w:val="56"/>
      <w:szCs w:val="56"/>
    </w:rPr>
  </w:style>
  <w:style w:type="paragraph" w:styleId="Normal" w:default="1">
    <w:name w:val="Normal"/>
    <w:qFormat w:val="1"/>
    <w:rsid w:val="00555938"/>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096466"/>
    <w:pPr>
      <w:spacing w:line="259" w:lineRule="auto"/>
      <w:outlineLvl w:val="0"/>
    </w:pPr>
    <w:rPr>
      <w:rFonts w:ascii="Arial" w:cs="Arial" w:eastAsia="Calibri" w:hAnsi="Arial"/>
      <w:color w:val="2e74b5" w:themeColor="accent1" w:themeShade="0000BF"/>
      <w:sz w:val="32"/>
      <w:szCs w:val="28"/>
    </w:rPr>
  </w:style>
  <w:style w:type="paragraph" w:styleId="Heading2">
    <w:name w:val="heading 2"/>
    <w:basedOn w:val="Normal"/>
    <w:next w:val="Normal"/>
    <w:link w:val="Heading2Char"/>
    <w:uiPriority w:val="9"/>
    <w:unhideWhenUsed w:val="1"/>
    <w:qFormat w:val="1"/>
    <w:rsid w:val="00C6259A"/>
    <w:pPr>
      <w:spacing w:line="259" w:lineRule="auto"/>
      <w:outlineLvl w:val="1"/>
    </w:pPr>
    <w:rPr>
      <w:rFonts w:ascii="Arial" w:cs="Arial" w:eastAsia="Calibri" w:hAnsi="Arial"/>
      <w:color w:val="2e74b5" w:themeColor="accent1" w:themeShade="0000BF"/>
      <w:szCs w:val="22"/>
    </w:rPr>
  </w:style>
  <w:style w:type="paragraph" w:styleId="Heading3">
    <w:name w:val="heading 3"/>
    <w:basedOn w:val="Heading2"/>
    <w:next w:val="Normal"/>
    <w:link w:val="Heading3Char"/>
    <w:uiPriority w:val="9"/>
    <w:unhideWhenUsed w:val="1"/>
    <w:qFormat w:val="1"/>
    <w:rsid w:val="00353344"/>
    <w:pPr>
      <w:outlineLvl w:val="2"/>
    </w:pPr>
    <w:rPr>
      <w:color w:val="1f4e79" w:themeColor="accent1" w:themeShade="000080"/>
      <w:sz w:val="22"/>
    </w:rPr>
  </w:style>
  <w:style w:type="paragraph" w:styleId="Heading4">
    <w:name w:val="heading 4"/>
    <w:basedOn w:val="Normal"/>
    <w:next w:val="Normal"/>
    <w:uiPriority w:val="9"/>
    <w:semiHidden w:val="1"/>
    <w:unhideWhenUsed w:val="1"/>
    <w:qFormat w:val="1"/>
    <w:pPr>
      <w:keepNext w:val="1"/>
      <w:keepLines w:val="1"/>
      <w:spacing w:after="40" w:before="240" w:line="259" w:lineRule="auto"/>
      <w:outlineLvl w:val="3"/>
    </w:pPr>
    <w:rPr>
      <w:rFonts w:ascii="Calibri" w:cs="Calibri" w:eastAsia="Calibri" w:hAnsi="Calibri"/>
      <w:b w:val="1"/>
    </w:rPr>
  </w:style>
  <w:style w:type="paragraph" w:styleId="Heading5">
    <w:name w:val="heading 5"/>
    <w:basedOn w:val="Normal"/>
    <w:next w:val="Normal"/>
    <w:uiPriority w:val="9"/>
    <w:semiHidden w:val="1"/>
    <w:unhideWhenUsed w:val="1"/>
    <w:qFormat w:val="1"/>
    <w:pPr>
      <w:keepNext w:val="1"/>
      <w:keepLines w:val="1"/>
      <w:spacing w:after="40" w:before="220" w:line="259" w:lineRule="auto"/>
      <w:outlineLvl w:val="4"/>
    </w:pPr>
    <w:rPr>
      <w:rFonts w:ascii="Calibri" w:cs="Calibri" w:eastAsia="Calibri" w:hAnsi="Calibri"/>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line="259" w:lineRule="auto"/>
      <w:outlineLvl w:val="5"/>
    </w:pPr>
    <w:rPr>
      <w:rFonts w:ascii="Calibri" w:cs="Calibri" w:eastAsia="Calibri" w:hAnsi="Calibri"/>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1E2A40"/>
    <w:pPr>
      <w:contextualSpacing w:val="1"/>
      <w:jc w:val="center"/>
    </w:pPr>
    <w:rPr>
      <w:rFonts w:ascii="Arial" w:hAnsi="Arial" w:cstheme="majorBidi" w:eastAsiaTheme="majorEastAsia"/>
      <w:spacing w:val="-10"/>
      <w:kern w:val="28"/>
      <w:sz w:val="56"/>
      <w:szCs w:val="56"/>
    </w:rPr>
  </w:style>
  <w:style w:type="paragraph" w:styleId="ListParagraph">
    <w:name w:val="List Paragraph"/>
    <w:basedOn w:val="Normal"/>
    <w:link w:val="ListParagraphChar"/>
    <w:uiPriority w:val="34"/>
    <w:qFormat w:val="1"/>
    <w:rsid w:val="00135DC0"/>
    <w:pPr>
      <w:spacing w:after="160" w:line="259" w:lineRule="auto"/>
      <w:ind w:left="720"/>
      <w:contextualSpacing w:val="1"/>
    </w:pPr>
    <w:rPr>
      <w:rFonts w:ascii="Calibri" w:cs="Calibri" w:eastAsia="Calibri" w:hAnsi="Calibri"/>
      <w:sz w:val="22"/>
      <w:szCs w:val="22"/>
    </w:rPr>
  </w:style>
  <w:style w:type="character" w:styleId="CommentReference">
    <w:name w:val="annotation reference"/>
    <w:basedOn w:val="DefaultParagraphFont"/>
    <w:uiPriority w:val="99"/>
    <w:semiHidden w:val="1"/>
    <w:unhideWhenUsed w:val="1"/>
    <w:rsid w:val="00CD2179"/>
    <w:rPr>
      <w:sz w:val="16"/>
      <w:szCs w:val="16"/>
    </w:rPr>
  </w:style>
  <w:style w:type="paragraph" w:styleId="CommentText">
    <w:name w:val="annotation text"/>
    <w:basedOn w:val="Normal"/>
    <w:link w:val="CommentTextChar"/>
    <w:uiPriority w:val="99"/>
    <w:unhideWhenUsed w:val="1"/>
    <w:rsid w:val="00CD2179"/>
    <w:pPr>
      <w:spacing w:after="160"/>
    </w:pPr>
    <w:rPr>
      <w:rFonts w:ascii="Calibri" w:cs="Calibri" w:eastAsia="Calibri" w:hAnsi="Calibri"/>
      <w:sz w:val="20"/>
      <w:szCs w:val="20"/>
    </w:rPr>
  </w:style>
  <w:style w:type="character" w:styleId="CommentTextChar" w:customStyle="1">
    <w:name w:val="Comment Text Char"/>
    <w:basedOn w:val="DefaultParagraphFont"/>
    <w:link w:val="CommentText"/>
    <w:uiPriority w:val="99"/>
    <w:rsid w:val="00CD2179"/>
    <w:rPr>
      <w:sz w:val="20"/>
      <w:szCs w:val="20"/>
    </w:rPr>
  </w:style>
  <w:style w:type="paragraph" w:styleId="CommentSubject">
    <w:name w:val="annotation subject"/>
    <w:basedOn w:val="CommentText"/>
    <w:next w:val="CommentText"/>
    <w:link w:val="CommentSubjectChar"/>
    <w:uiPriority w:val="99"/>
    <w:semiHidden w:val="1"/>
    <w:unhideWhenUsed w:val="1"/>
    <w:rsid w:val="00CD2179"/>
    <w:rPr>
      <w:b w:val="1"/>
      <w:bCs w:val="1"/>
    </w:rPr>
  </w:style>
  <w:style w:type="character" w:styleId="CommentSubjectChar" w:customStyle="1">
    <w:name w:val="Comment Subject Char"/>
    <w:basedOn w:val="CommentTextChar"/>
    <w:link w:val="CommentSubject"/>
    <w:uiPriority w:val="99"/>
    <w:semiHidden w:val="1"/>
    <w:rsid w:val="00CD2179"/>
    <w:rPr>
      <w:b w:val="1"/>
      <w:bCs w:val="1"/>
      <w:sz w:val="20"/>
      <w:szCs w:val="20"/>
    </w:rPr>
  </w:style>
  <w:style w:type="paragraph" w:styleId="BalloonText">
    <w:name w:val="Balloon Text"/>
    <w:basedOn w:val="Normal"/>
    <w:link w:val="BalloonTextChar"/>
    <w:uiPriority w:val="99"/>
    <w:semiHidden w:val="1"/>
    <w:unhideWhenUsed w:val="1"/>
    <w:rsid w:val="00CD2179"/>
    <w:rPr>
      <w:rFonts w:ascii="Segoe UI" w:cs="Segoe UI" w:eastAsia="Calibri" w:hAnsi="Segoe UI"/>
      <w:sz w:val="18"/>
      <w:szCs w:val="18"/>
    </w:rPr>
  </w:style>
  <w:style w:type="character" w:styleId="BalloonTextChar" w:customStyle="1">
    <w:name w:val="Balloon Text Char"/>
    <w:basedOn w:val="DefaultParagraphFont"/>
    <w:link w:val="BalloonText"/>
    <w:uiPriority w:val="99"/>
    <w:semiHidden w:val="1"/>
    <w:rsid w:val="00CD2179"/>
    <w:rPr>
      <w:rFonts w:ascii="Segoe UI" w:cs="Segoe UI" w:hAnsi="Segoe UI"/>
      <w:sz w:val="18"/>
      <w:szCs w:val="18"/>
    </w:rPr>
  </w:style>
  <w:style w:type="character" w:styleId="Hyperlink">
    <w:name w:val="Hyperlink"/>
    <w:basedOn w:val="DefaultParagraphFont"/>
    <w:uiPriority w:val="99"/>
    <w:unhideWhenUsed w:val="1"/>
    <w:rsid w:val="004D1F12"/>
    <w:rPr>
      <w:color w:val="0563c1" w:themeColor="hyperlink"/>
      <w:u w:val="single"/>
    </w:rPr>
  </w:style>
  <w:style w:type="paragraph" w:styleId="Header">
    <w:name w:val="header"/>
    <w:basedOn w:val="Normal"/>
    <w:link w:val="HeaderChar"/>
    <w:uiPriority w:val="99"/>
    <w:unhideWhenUsed w:val="1"/>
    <w:rsid w:val="00CC6B6F"/>
    <w:pPr>
      <w:tabs>
        <w:tab w:val="center" w:pos="4680"/>
        <w:tab w:val="right" w:pos="9360"/>
      </w:tabs>
    </w:pPr>
    <w:rPr>
      <w:rFonts w:ascii="Calibri" w:cs="Calibri" w:eastAsia="Calibri" w:hAnsi="Calibri"/>
      <w:sz w:val="22"/>
      <w:szCs w:val="22"/>
    </w:rPr>
  </w:style>
  <w:style w:type="character" w:styleId="HeaderChar" w:customStyle="1">
    <w:name w:val="Header Char"/>
    <w:basedOn w:val="DefaultParagraphFont"/>
    <w:link w:val="Header"/>
    <w:uiPriority w:val="99"/>
    <w:rsid w:val="00CC6B6F"/>
  </w:style>
  <w:style w:type="paragraph" w:styleId="Footer">
    <w:name w:val="footer"/>
    <w:basedOn w:val="Normal"/>
    <w:link w:val="FooterChar"/>
    <w:uiPriority w:val="99"/>
    <w:unhideWhenUsed w:val="1"/>
    <w:rsid w:val="00CC6B6F"/>
    <w:pPr>
      <w:tabs>
        <w:tab w:val="center" w:pos="4680"/>
        <w:tab w:val="right" w:pos="9360"/>
      </w:tabs>
    </w:pPr>
    <w:rPr>
      <w:rFonts w:ascii="Calibri" w:cs="Calibri" w:eastAsia="Calibri" w:hAnsi="Calibri"/>
      <w:sz w:val="22"/>
      <w:szCs w:val="22"/>
    </w:rPr>
  </w:style>
  <w:style w:type="character" w:styleId="FooterChar" w:customStyle="1">
    <w:name w:val="Footer Char"/>
    <w:basedOn w:val="DefaultParagraphFont"/>
    <w:link w:val="Footer"/>
    <w:uiPriority w:val="99"/>
    <w:rsid w:val="00CC6B6F"/>
  </w:style>
  <w:style w:type="paragraph" w:styleId="Default" w:customStyle="1">
    <w:name w:val="Default"/>
    <w:rsid w:val="00CC6B6F"/>
    <w:pPr>
      <w:autoSpaceDE w:val="0"/>
      <w:autoSpaceDN w:val="0"/>
      <w:adjustRightInd w:val="0"/>
      <w:spacing w:after="0" w:line="240" w:lineRule="auto"/>
    </w:pPr>
    <w:rPr>
      <w:rFonts w:ascii="Arial" w:cs="Arial" w:hAnsi="Arial"/>
      <w:color w:val="000000"/>
      <w:sz w:val="24"/>
      <w:szCs w:val="24"/>
    </w:rPr>
  </w:style>
  <w:style w:type="table" w:styleId="TableGrid">
    <w:name w:val="Table Grid"/>
    <w:basedOn w:val="TableNormal"/>
    <w:uiPriority w:val="39"/>
    <w:rsid w:val="00CC6B6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CC2896"/>
    <w:pPr>
      <w:spacing w:after="0" w:line="240" w:lineRule="auto"/>
    </w:pPr>
  </w:style>
  <w:style w:type="character" w:styleId="ListParagraphChar" w:customStyle="1">
    <w:name w:val="List Paragraph Char"/>
    <w:basedOn w:val="DefaultParagraphFont"/>
    <w:link w:val="ListParagraph"/>
    <w:uiPriority w:val="34"/>
    <w:locked w:val="1"/>
    <w:rsid w:val="00711061"/>
  </w:style>
  <w:style w:type="character" w:styleId="Heading1Char" w:customStyle="1">
    <w:name w:val="Heading 1 Char"/>
    <w:basedOn w:val="DefaultParagraphFont"/>
    <w:link w:val="Heading1"/>
    <w:uiPriority w:val="9"/>
    <w:rsid w:val="00096466"/>
    <w:rPr>
      <w:rFonts w:ascii="Arial" w:cs="Arial" w:hAnsi="Arial"/>
      <w:color w:val="2e74b5" w:themeColor="accent1" w:themeShade="0000BF"/>
      <w:sz w:val="32"/>
      <w:szCs w:val="28"/>
    </w:rPr>
  </w:style>
  <w:style w:type="character" w:styleId="Heading2Char" w:customStyle="1">
    <w:name w:val="Heading 2 Char"/>
    <w:basedOn w:val="DefaultParagraphFont"/>
    <w:link w:val="Heading2"/>
    <w:uiPriority w:val="9"/>
    <w:rsid w:val="00C6259A"/>
    <w:rPr>
      <w:rFonts w:ascii="Arial" w:cs="Arial" w:hAnsi="Arial"/>
      <w:color w:val="2e74b5" w:themeColor="accent1" w:themeShade="0000BF"/>
      <w:sz w:val="24"/>
    </w:rPr>
  </w:style>
  <w:style w:type="character" w:styleId="Heading3Char" w:customStyle="1">
    <w:name w:val="Heading 3 Char"/>
    <w:basedOn w:val="DefaultParagraphFont"/>
    <w:link w:val="Heading3"/>
    <w:uiPriority w:val="9"/>
    <w:rsid w:val="00353344"/>
    <w:rPr>
      <w:rFonts w:ascii="Arial" w:cs="Arial" w:hAnsi="Arial"/>
      <w:color w:val="1f4e79" w:themeColor="accent1" w:themeShade="000080"/>
    </w:rPr>
  </w:style>
  <w:style w:type="paragraph" w:styleId="paragraph" w:customStyle="1">
    <w:name w:val="paragraph"/>
    <w:basedOn w:val="Normal"/>
    <w:rsid w:val="00EC70F6"/>
    <w:pPr>
      <w:spacing w:after="100" w:afterAutospacing="1" w:before="100" w:beforeAutospacing="1"/>
    </w:pPr>
  </w:style>
  <w:style w:type="character" w:styleId="normaltextrun" w:customStyle="1">
    <w:name w:val="normaltextrun"/>
    <w:basedOn w:val="DefaultParagraphFont"/>
    <w:rsid w:val="00EC70F6"/>
  </w:style>
  <w:style w:type="character" w:styleId="eop" w:customStyle="1">
    <w:name w:val="eop"/>
    <w:basedOn w:val="DefaultParagraphFont"/>
    <w:rsid w:val="00EC70F6"/>
  </w:style>
  <w:style w:type="character" w:styleId="tabchar" w:customStyle="1">
    <w:name w:val="tabchar"/>
    <w:basedOn w:val="DefaultParagraphFont"/>
    <w:rsid w:val="00EC70F6"/>
  </w:style>
  <w:style w:type="character" w:styleId="contextualspellingandgrammarerror" w:customStyle="1">
    <w:name w:val="contextualspellingandgrammarerror"/>
    <w:basedOn w:val="DefaultParagraphFont"/>
    <w:rsid w:val="00EC70F6"/>
  </w:style>
  <w:style w:type="character" w:styleId="Mention">
    <w:name w:val="Mention"/>
    <w:basedOn w:val="DefaultParagraphFont"/>
    <w:uiPriority w:val="99"/>
    <w:unhideWhenUsed w:val="1"/>
    <w:rPr>
      <w:color w:val="2b579a"/>
      <w:shd w:color="auto" w:fill="e6e6e6" w:val="clear"/>
    </w:rPr>
  </w:style>
  <w:style w:type="paragraph" w:styleId="Revision">
    <w:name w:val="Revision"/>
    <w:hidden w:val="1"/>
    <w:uiPriority w:val="99"/>
    <w:semiHidden w:val="1"/>
    <w:rsid w:val="0031444B"/>
    <w:pPr>
      <w:spacing w:after="0" w:line="240" w:lineRule="auto"/>
    </w:pPr>
  </w:style>
  <w:style w:type="character" w:styleId="UnresolvedMention">
    <w:name w:val="Unresolved Mention"/>
    <w:basedOn w:val="DefaultParagraphFont"/>
    <w:uiPriority w:val="99"/>
    <w:semiHidden w:val="1"/>
    <w:unhideWhenUsed w:val="1"/>
    <w:rsid w:val="0031444B"/>
    <w:rPr>
      <w:color w:val="605e5c"/>
      <w:shd w:color="auto" w:fill="e1dfdd" w:val="clear"/>
    </w:rPr>
  </w:style>
  <w:style w:type="character" w:styleId="FootnoteReference">
    <w:name w:val="footnote reference"/>
    <w:basedOn w:val="DefaultParagraphFont"/>
    <w:uiPriority w:val="99"/>
    <w:semiHidden w:val="1"/>
    <w:unhideWhenUsed w:val="1"/>
    <w:rPr>
      <w:vertAlign w:val="superscript"/>
    </w:rPr>
  </w:style>
  <w:style w:type="character" w:styleId="FootnoteTextChar" w:customStyle="1">
    <w:name w:val="Footnote Text Char"/>
    <w:basedOn w:val="DefaultParagraphFont"/>
    <w:link w:val="FootnoteText"/>
    <w:uiPriority w:val="99"/>
    <w:semiHidden w:val="1"/>
    <w:rPr>
      <w:sz w:val="20"/>
      <w:szCs w:val="20"/>
    </w:rPr>
  </w:style>
  <w:style w:type="paragraph" w:styleId="FootnoteText">
    <w:name w:val="footnote text"/>
    <w:basedOn w:val="Normal"/>
    <w:link w:val="FootnoteTextChar"/>
    <w:uiPriority w:val="99"/>
    <w:semiHidden w:val="1"/>
    <w:unhideWhenUsed w:val="1"/>
    <w:rPr>
      <w:rFonts w:ascii="Calibri" w:cs="Calibri" w:eastAsia="Calibri" w:hAnsi="Calibri"/>
      <w:sz w:val="20"/>
      <w:szCs w:val="20"/>
    </w:rPr>
  </w:style>
  <w:style w:type="character" w:styleId="TitleChar" w:customStyle="1">
    <w:name w:val="Title Char"/>
    <w:basedOn w:val="DefaultParagraphFont"/>
    <w:link w:val="Title"/>
    <w:uiPriority w:val="10"/>
    <w:rsid w:val="001E2A40"/>
    <w:rPr>
      <w:rFonts w:ascii="Arial" w:hAnsi="Arial" w:cstheme="majorBidi" w:eastAsiaTheme="majorEastAsia"/>
      <w:spacing w:val="-10"/>
      <w:kern w:val="28"/>
      <w:sz w:val="56"/>
      <w:szCs w:val="56"/>
    </w:rPr>
  </w:style>
  <w:style w:type="character" w:styleId="TitleChar1" w:customStyle="1">
    <w:name w:val="Title Char1"/>
    <w:basedOn w:val="DefaultParagraphFont"/>
    <w:uiPriority w:val="10"/>
    <w:rsid w:val="007236E3"/>
    <w:rPr>
      <w:rFonts w:asciiTheme="majorHAnsi" w:cstheme="majorBidi" w:eastAsiaTheme="majorEastAsia" w:hAnsiTheme="majorHAnsi"/>
      <w:spacing w:val="-10"/>
      <w:kern w:val="28"/>
      <w:sz w:val="56"/>
      <w:szCs w:val="56"/>
    </w:rPr>
  </w:style>
  <w:style w:type="paragraph" w:styleId="ADAH1" w:customStyle="1">
    <w:name w:val="ADA H1"/>
    <w:basedOn w:val="Heading1"/>
    <w:qFormat w:val="1"/>
    <w:rsid w:val="00C6259A"/>
    <w:pPr>
      <w:jc w:val="center"/>
    </w:pPr>
    <w:rPr>
      <w:sz w:val="48"/>
    </w:rPr>
  </w:style>
  <w:style w:type="paragraph" w:styleId="Subtitle">
    <w:name w:val="Subtitle"/>
    <w:basedOn w:val="Normal"/>
    <w:next w:val="Normal"/>
    <w:uiPriority w:val="11"/>
    <w:qFormat w:val="1"/>
    <w:pPr>
      <w:keepNext w:val="1"/>
      <w:keepLines w:val="1"/>
      <w:spacing w:after="80" w:before="360" w:line="259" w:lineRule="auto"/>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unhideWhenUsed w:val="1"/>
    <w:rsid w:val="00297B3C"/>
    <w:pPr>
      <w:spacing w:after="100" w:afterAutospacing="1" w:before="100" w:beforeAutospacing="1"/>
    </w:pPr>
  </w:style>
  <w:style w:type="character" w:styleId="Strong">
    <w:name w:val="Strong"/>
    <w:basedOn w:val="DefaultParagraphFont"/>
    <w:uiPriority w:val="22"/>
    <w:qFormat w:val="1"/>
    <w:rsid w:val="00297B3C"/>
    <w:rPr>
      <w:b w:val="1"/>
      <w:bCs w:val="1"/>
    </w:rPr>
  </w:style>
  <w:style w:type="paragraph" w:styleId="Subtitle">
    <w:name w:val="Subtitle"/>
    <w:basedOn w:val="Normal"/>
    <w:next w:val="Normal"/>
    <w:pPr>
      <w:keepNext w:val="1"/>
      <w:keepLines w:val="1"/>
      <w:spacing w:after="80" w:before="360" w:line="259"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ewberrycsd.net/civic-hub-strategic-plan#body_file-a5ff363c-fbfe-4613-b3f3-0510fce3e20a" TargetMode="External"/><Relationship Id="rId10" Type="http://schemas.openxmlformats.org/officeDocument/2006/relationships/hyperlink" Target="https://cppnewberrysprings.files.wordpress.com/2017/03/newberry-springs-final-report-reduced-size.pdf" TargetMode="External"/><Relationship Id="rId13" Type="http://schemas.openxmlformats.org/officeDocument/2006/relationships/header" Target="header2.xml"/><Relationship Id="rId12" Type="http://schemas.openxmlformats.org/officeDocument/2006/relationships/hyperlink" Target="https://www.calhr.ca.gov/employees/pages/travel-reimbursements.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untywideplan.com/community/north-desert-unincorporated/newberry-springs/"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countywideplan.com/policy-pl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codes_displaySection.xhtml?lawCode=GOV&amp;sectionNum=6504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QIQUyN3QFAgBuSLMxuQh3/9cQ==">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2023-07-06T14:50:00Z</dcterms:created>
  <dc:creator>Julia Nagle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0x010100E264801D406C2D418CDD85B67D17D269</vt:lpwstr>
  </property>
  <property fmtid="{D5CDD505-2E9C-101B-9397-08002B2CF9AE}" pid="3" name="MediaServiceImageTags">
    <vt:lpwstr/>
  </property>
</Properties>
</file>