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38D4" w14:textId="77777777" w:rsidR="005D7ABA" w:rsidRPr="005D7ABA" w:rsidRDefault="005D7ABA" w:rsidP="005D7ABA">
      <w:r w:rsidRPr="005D7ABA">
        <w:rPr>
          <w:b/>
          <w:bCs/>
        </w:rPr>
        <w:t xml:space="preserve">POLICY TITLE: Conflict of Interest </w:t>
      </w:r>
    </w:p>
    <w:p w14:paraId="0940F92E" w14:textId="77777777" w:rsidR="005D7ABA" w:rsidRPr="005D7ABA" w:rsidRDefault="005D7ABA" w:rsidP="005D7ABA">
      <w:r w:rsidRPr="005D7ABA">
        <w:rPr>
          <w:b/>
          <w:bCs/>
        </w:rPr>
        <w:t xml:space="preserve">POLICY NUMBER: 1020 </w:t>
      </w:r>
    </w:p>
    <w:p w14:paraId="1CA41D39" w14:textId="1734C5FC" w:rsidR="005D7ABA" w:rsidRDefault="005D7ABA" w:rsidP="005D7ABA">
      <w:r w:rsidRPr="005D7ABA">
        <w:t xml:space="preserve">1020.1 The Political Reform Act, Government Code §81 DOD, et seq., requires state and local government agencies to adopt and promulgate conflict-of-interest codes. The FPPC has adopted a regulation (2 Cal. Code of Regs. § 18730) which contains the terms of a standard conflict of interest code. It can be incorporated by reference and may be amended by the FPPC after public notice and hearings to conform to amendments in the Political Reform Act. The Board approved and adopted the FPPC’s standard conflict of interest on [August 25, 2015]. Therefore, the terms of 2 Cal. Code of Regs. § 18730 and any amendments to it duly adopted by the FPPC are hereby incorporated by reference and, along with the attached Appendix, in which members of the Board of Directors and employees are designated, and in which disclosure categories are set forth constitute the conflict of interest code of the Newberry Community Services District. </w:t>
      </w:r>
    </w:p>
    <w:p w14:paraId="45571410" w14:textId="2BF51A0A" w:rsidR="005D7ABA" w:rsidRPr="005D7ABA" w:rsidRDefault="005D7ABA" w:rsidP="005D7ABA">
      <w:pPr>
        <w:rPr>
          <w:color w:val="FF0000"/>
        </w:rPr>
      </w:pPr>
      <w:r w:rsidRPr="00312ED6">
        <w:rPr>
          <w:color w:val="FF0000"/>
        </w:rPr>
        <w:t xml:space="preserve">1021.15 California FPPC (Fair Political Practices Commission) Regulation 18702.2 defines the Materiality Standard for Real Property. </w:t>
      </w:r>
      <w:r w:rsidRPr="005D7ABA">
        <w:rPr>
          <w:color w:val="FF0000"/>
        </w:rPr>
        <w:t>This is the regulation that defines when a decision affecting real property causes a conflict</w:t>
      </w:r>
      <w:r w:rsidRPr="00312ED6">
        <w:rPr>
          <w:color w:val="FF0000"/>
        </w:rPr>
        <w:t xml:space="preserve"> of interest.</w:t>
      </w:r>
    </w:p>
    <w:p w14:paraId="38A98839" w14:textId="77777777" w:rsidR="005D7ABA" w:rsidRPr="005D7ABA" w:rsidRDefault="005D7ABA" w:rsidP="005D7ABA">
      <w:pPr>
        <w:rPr>
          <w:color w:val="FF0000"/>
        </w:rPr>
      </w:pPr>
      <w:r w:rsidRPr="005D7ABA">
        <w:rPr>
          <w:color w:val="FF0000"/>
        </w:rPr>
        <w:t xml:space="preserve">Under </w:t>
      </w:r>
      <w:r w:rsidRPr="005D7ABA">
        <w:rPr>
          <w:b/>
          <w:bCs/>
          <w:color w:val="FF0000"/>
        </w:rPr>
        <w:t>2 CCR § 18702.2</w:t>
      </w:r>
      <w:r w:rsidRPr="005D7ABA">
        <w:rPr>
          <w:color w:val="FF0000"/>
        </w:rPr>
        <w:t xml:space="preserve">, a public official has a conflict if a decision affects real property they own </w:t>
      </w:r>
      <w:r w:rsidRPr="005D7ABA">
        <w:rPr>
          <w:b/>
          <w:bCs/>
          <w:color w:val="FF0000"/>
        </w:rPr>
        <w:t>within 500 feet</w:t>
      </w:r>
      <w:r w:rsidRPr="005D7ABA">
        <w:rPr>
          <w:color w:val="FF0000"/>
        </w:rPr>
        <w:t xml:space="preserve"> of the property involved in the decision—because the financial effect is presumed </w:t>
      </w:r>
      <w:r w:rsidRPr="005D7ABA">
        <w:rPr>
          <w:b/>
          <w:bCs/>
          <w:color w:val="FF0000"/>
        </w:rPr>
        <w:t>material</w:t>
      </w:r>
      <w:r w:rsidRPr="005D7ABA">
        <w:rPr>
          <w:color w:val="FF0000"/>
        </w:rPr>
        <w:t>.</w:t>
      </w:r>
    </w:p>
    <w:p w14:paraId="5ADBC773" w14:textId="77777777" w:rsidR="005D7ABA" w:rsidRPr="005D7ABA" w:rsidRDefault="005D7ABA" w:rsidP="005D7ABA">
      <w:pPr>
        <w:rPr>
          <w:b/>
          <w:bCs/>
          <w:color w:val="FF0000"/>
        </w:rPr>
      </w:pPr>
      <w:r w:rsidRPr="005D7ABA">
        <w:rPr>
          <w:b/>
          <w:bCs/>
          <w:color w:val="FF0000"/>
        </w:rPr>
        <w:t>Key distances:</w:t>
      </w:r>
    </w:p>
    <w:p w14:paraId="3C7F7153" w14:textId="77777777" w:rsidR="005D7ABA" w:rsidRPr="005D7ABA" w:rsidRDefault="005D7ABA" w:rsidP="005D7ABA">
      <w:pPr>
        <w:rPr>
          <w:b/>
          <w:bCs/>
          <w:color w:val="FF0000"/>
        </w:rPr>
      </w:pPr>
      <w:r w:rsidRPr="005D7ABA">
        <w:rPr>
          <w:b/>
          <w:bCs/>
          <w:color w:val="FF0000"/>
        </w:rPr>
        <w:t>0–500 feet → automatic, presumed material financial effect</w:t>
      </w:r>
    </w:p>
    <w:p w14:paraId="002B623C" w14:textId="77777777" w:rsidR="005D7ABA" w:rsidRPr="005D7ABA" w:rsidRDefault="005D7ABA" w:rsidP="005D7ABA">
      <w:pPr>
        <w:rPr>
          <w:color w:val="FF0000"/>
        </w:rPr>
      </w:pPr>
      <w:r w:rsidRPr="005D7ABA">
        <w:rPr>
          <w:color w:val="FF0000"/>
        </w:rPr>
        <w:t xml:space="preserve">If a Board member owns real property </w:t>
      </w:r>
      <w:r w:rsidRPr="005D7ABA">
        <w:rPr>
          <w:b/>
          <w:bCs/>
          <w:color w:val="FF0000"/>
        </w:rPr>
        <w:t>within 500 feet</w:t>
      </w:r>
      <w:r w:rsidRPr="005D7ABA">
        <w:rPr>
          <w:color w:val="FF0000"/>
        </w:rPr>
        <w:t xml:space="preserve"> of district property involved in a decision (e.g., purchase, sale, lease, zoning, improvements), the FPPC presumes the effect is material.</w:t>
      </w:r>
    </w:p>
    <w:p w14:paraId="1B644C8D" w14:textId="77777777" w:rsidR="005D7ABA" w:rsidRPr="005D7ABA" w:rsidRDefault="005D7ABA" w:rsidP="005D7ABA">
      <w:pPr>
        <w:rPr>
          <w:color w:val="FF0000"/>
        </w:rPr>
      </w:pPr>
      <w:r w:rsidRPr="005D7ABA">
        <w:rPr>
          <w:color w:val="FF0000"/>
        </w:rPr>
        <w:t xml:space="preserve">The official </w:t>
      </w:r>
      <w:r w:rsidRPr="005D7ABA">
        <w:rPr>
          <w:b/>
          <w:bCs/>
          <w:color w:val="FF0000"/>
        </w:rPr>
        <w:t>must disqualify themself</w:t>
      </w:r>
      <w:r w:rsidRPr="005D7ABA">
        <w:rPr>
          <w:color w:val="FF0000"/>
        </w:rPr>
        <w:t>, unless an exception applies.</w:t>
      </w:r>
    </w:p>
    <w:p w14:paraId="71D96BE7" w14:textId="77777777" w:rsidR="005D7ABA" w:rsidRPr="005D7ABA" w:rsidRDefault="005D7ABA" w:rsidP="005D7ABA">
      <w:pPr>
        <w:rPr>
          <w:b/>
          <w:bCs/>
          <w:color w:val="FF0000"/>
        </w:rPr>
      </w:pPr>
      <w:r w:rsidRPr="005D7ABA">
        <w:rPr>
          <w:b/>
          <w:bCs/>
          <w:color w:val="FF0000"/>
        </w:rPr>
        <w:t>500–1,000 feet → material effect possible</w:t>
      </w:r>
    </w:p>
    <w:p w14:paraId="3D0D6B5D" w14:textId="77777777" w:rsidR="005D7ABA" w:rsidRPr="005D7ABA" w:rsidRDefault="005D7ABA" w:rsidP="005D7ABA">
      <w:pPr>
        <w:rPr>
          <w:color w:val="FF0000"/>
        </w:rPr>
      </w:pPr>
      <w:r w:rsidRPr="005D7ABA">
        <w:rPr>
          <w:color w:val="FF0000"/>
        </w:rPr>
        <w:t>The presumption flips, but FPPC analyzes the facts, including potential changes in:</w:t>
      </w:r>
    </w:p>
    <w:p w14:paraId="46DC9EBC" w14:textId="77777777" w:rsidR="005D7ABA" w:rsidRPr="005D7ABA" w:rsidRDefault="005D7ABA" w:rsidP="005D7ABA">
      <w:pPr>
        <w:numPr>
          <w:ilvl w:val="0"/>
          <w:numId w:val="1"/>
        </w:numPr>
        <w:rPr>
          <w:color w:val="FF0000"/>
        </w:rPr>
      </w:pPr>
      <w:r w:rsidRPr="005D7ABA">
        <w:rPr>
          <w:color w:val="FF0000"/>
        </w:rPr>
        <w:t>property value</w:t>
      </w:r>
    </w:p>
    <w:p w14:paraId="18C264DF" w14:textId="77777777" w:rsidR="005D7ABA" w:rsidRPr="005D7ABA" w:rsidRDefault="005D7ABA" w:rsidP="005D7ABA">
      <w:pPr>
        <w:numPr>
          <w:ilvl w:val="0"/>
          <w:numId w:val="1"/>
        </w:numPr>
        <w:rPr>
          <w:color w:val="FF0000"/>
        </w:rPr>
      </w:pPr>
      <w:r w:rsidRPr="005D7ABA">
        <w:rPr>
          <w:color w:val="FF0000"/>
        </w:rPr>
        <w:t>development potential</w:t>
      </w:r>
    </w:p>
    <w:p w14:paraId="74A478EE" w14:textId="77777777" w:rsidR="005D7ABA" w:rsidRPr="005D7ABA" w:rsidRDefault="005D7ABA" w:rsidP="005D7ABA">
      <w:pPr>
        <w:numPr>
          <w:ilvl w:val="0"/>
          <w:numId w:val="1"/>
        </w:numPr>
        <w:rPr>
          <w:color w:val="FF0000"/>
        </w:rPr>
      </w:pPr>
      <w:r w:rsidRPr="005D7ABA">
        <w:rPr>
          <w:color w:val="FF0000"/>
        </w:rPr>
        <w:lastRenderedPageBreak/>
        <w:t>view, noise, traffic, access</w:t>
      </w:r>
    </w:p>
    <w:p w14:paraId="64C02BF5" w14:textId="77777777" w:rsidR="005D7ABA" w:rsidRPr="005D7ABA" w:rsidRDefault="005D7ABA" w:rsidP="005D7ABA">
      <w:pPr>
        <w:rPr>
          <w:color w:val="FF0000"/>
        </w:rPr>
      </w:pPr>
      <w:r w:rsidRPr="005D7ABA">
        <w:rPr>
          <w:color w:val="FF0000"/>
        </w:rPr>
        <w:t xml:space="preserve">A conflict </w:t>
      </w:r>
      <w:r w:rsidRPr="005D7ABA">
        <w:rPr>
          <w:i/>
          <w:iCs/>
          <w:color w:val="FF0000"/>
        </w:rPr>
        <w:t>may</w:t>
      </w:r>
      <w:r w:rsidRPr="005D7ABA">
        <w:rPr>
          <w:color w:val="FF0000"/>
        </w:rPr>
        <w:t xml:space="preserve"> still exist.</w:t>
      </w:r>
    </w:p>
    <w:p w14:paraId="3B634C9E" w14:textId="77777777" w:rsidR="005D7ABA" w:rsidRPr="005D7ABA" w:rsidRDefault="005D7ABA" w:rsidP="005D7ABA">
      <w:pPr>
        <w:rPr>
          <w:b/>
          <w:bCs/>
          <w:color w:val="FF0000"/>
        </w:rPr>
      </w:pPr>
      <w:r w:rsidRPr="005D7ABA">
        <w:rPr>
          <w:b/>
          <w:bCs/>
          <w:color w:val="FF0000"/>
        </w:rPr>
        <w:t>1,000+ feet → usually no material effect</w:t>
      </w:r>
    </w:p>
    <w:p w14:paraId="6B7F117A" w14:textId="77777777" w:rsidR="005D7ABA" w:rsidRPr="005D7ABA" w:rsidRDefault="005D7ABA" w:rsidP="005D7ABA">
      <w:pPr>
        <w:rPr>
          <w:color w:val="FF0000"/>
        </w:rPr>
      </w:pPr>
      <w:r w:rsidRPr="005D7ABA">
        <w:rPr>
          <w:color w:val="FF0000"/>
        </w:rPr>
        <w:t xml:space="preserve">FPPC normally finds </w:t>
      </w:r>
      <w:r w:rsidRPr="005D7ABA">
        <w:rPr>
          <w:b/>
          <w:bCs/>
          <w:color w:val="FF0000"/>
        </w:rPr>
        <w:t>no conflict</w:t>
      </w:r>
      <w:r w:rsidRPr="005D7ABA">
        <w:rPr>
          <w:color w:val="FF0000"/>
        </w:rPr>
        <w:t xml:space="preserve"> unless there are unusual or substantial impacts.</w:t>
      </w:r>
    </w:p>
    <w:p w14:paraId="5F01E06F" w14:textId="77777777" w:rsidR="005D7ABA" w:rsidRPr="005D7ABA" w:rsidRDefault="005D7ABA" w:rsidP="005D7ABA">
      <w:r w:rsidRPr="005D7ABA">
        <w:t xml:space="preserve">1020.2 Persons shall file a form 700 statements of economic interests with the Newberry Community Services District office every year by April 1st include elected Board Members and appointed Board Members. </w:t>
      </w:r>
    </w:p>
    <w:p w14:paraId="660BDC29" w14:textId="77777777" w:rsidR="005D7ABA" w:rsidRPr="005D7ABA" w:rsidRDefault="005D7ABA" w:rsidP="005D7ABA">
      <w:r w:rsidRPr="005D7ABA">
        <w:t xml:space="preserve">1020.3 Designated employees who must file a form 700 with the Newberry Community Services District office include the General Manager, Treasurer and District Secretary. </w:t>
      </w:r>
    </w:p>
    <w:p w14:paraId="3E56FB41" w14:textId="700A08ED" w:rsidR="005E425C" w:rsidRDefault="005D7ABA" w:rsidP="005D7ABA">
      <w:r w:rsidRPr="005D7ABA">
        <w:t>1020.4 Candidates for the Board of Directors must file with San Bernardino County Elections Office and if elected with the Newberry C.S.D. the following year, each year thereafter, and upon leaving office with the Newberry C.S.D. office.</w:t>
      </w:r>
    </w:p>
    <w:sectPr w:rsidR="005E4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02361"/>
    <w:multiLevelType w:val="multilevel"/>
    <w:tmpl w:val="EDEE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73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BA"/>
    <w:rsid w:val="001967B6"/>
    <w:rsid w:val="00312ED6"/>
    <w:rsid w:val="0039677D"/>
    <w:rsid w:val="005D7ABA"/>
    <w:rsid w:val="005E425C"/>
    <w:rsid w:val="00662125"/>
    <w:rsid w:val="00664204"/>
    <w:rsid w:val="009C3878"/>
    <w:rsid w:val="00A556B1"/>
    <w:rsid w:val="00BC0B4C"/>
    <w:rsid w:val="00FD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1EA7"/>
  <w15:chartTrackingRefBased/>
  <w15:docId w15:val="{9F60B32C-7F93-458D-9F41-1D1E5EFB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7B6"/>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422</Words>
  <Characters>2306</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fortune900</dc:creator>
  <cp:keywords/>
  <dc:description/>
  <cp:lastModifiedBy>Newberry CSD</cp:lastModifiedBy>
  <cp:revision>3</cp:revision>
  <cp:lastPrinted>2025-12-11T22:09:00Z</cp:lastPrinted>
  <dcterms:created xsi:type="dcterms:W3CDTF">2025-12-10T15:56:00Z</dcterms:created>
  <dcterms:modified xsi:type="dcterms:W3CDTF">2025-12-11T22:14:00Z</dcterms:modified>
</cp:coreProperties>
</file>